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EAC8C" w14:textId="77777777" w:rsidR="00E017CC" w:rsidRDefault="00E017CC" w:rsidP="00E017CC">
      <w:pPr>
        <w:widowControl w:val="0"/>
        <w:tabs>
          <w:tab w:val="right" w:pos="8504"/>
        </w:tabs>
        <w:overflowPunct w:val="0"/>
        <w:autoSpaceDE w:val="0"/>
        <w:autoSpaceDN w:val="0"/>
        <w:adjustRightInd w:val="0"/>
        <w:spacing w:before="120" w:after="120" w:line="240" w:lineRule="auto"/>
        <w:ind w:right="-1"/>
        <w:rPr>
          <w:rFonts w:cs="Times New Roman"/>
          <w:color w:val="000000"/>
          <w:sz w:val="20"/>
          <w:szCs w:val="20"/>
        </w:rPr>
      </w:pPr>
    </w:p>
    <w:p w14:paraId="53CEAC8D" w14:textId="77777777" w:rsidR="00E017CC" w:rsidRPr="00811EE0" w:rsidRDefault="00001F3D" w:rsidP="002B0E31">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60" w:line="240" w:lineRule="auto"/>
        <w:ind w:left="993" w:right="567" w:hanging="426"/>
        <w:rPr>
          <w:rFonts w:cs="Times New Roman"/>
          <w:color w:val="000000"/>
          <w:sz w:val="20"/>
          <w:szCs w:val="20"/>
        </w:rPr>
      </w:pPr>
      <w:r w:rsidRPr="00811EE0">
        <w:rPr>
          <w:rFonts w:cs="Times New Roman"/>
          <w:color w:val="000000"/>
          <w:sz w:val="20"/>
          <w:szCs w:val="20"/>
        </w:rPr>
        <w:t>I</w:t>
      </w:r>
      <w:r w:rsidRPr="00811EE0">
        <w:rPr>
          <w:rFonts w:cs="Times New Roman"/>
          <w:color w:val="000000"/>
          <w:sz w:val="20"/>
          <w:szCs w:val="20"/>
        </w:rPr>
        <w:tab/>
      </w:r>
      <w:r w:rsidR="000236C5" w:rsidRPr="00811EE0">
        <w:rPr>
          <w:rFonts w:cs="Times New Roman"/>
          <w:color w:val="000000"/>
          <w:sz w:val="20"/>
          <w:szCs w:val="20"/>
        </w:rPr>
        <w:t>Introducción</w:t>
      </w:r>
    </w:p>
    <w:p w14:paraId="53CEAC8E" w14:textId="77777777" w:rsidR="00E017CC" w:rsidRPr="00811EE0" w:rsidRDefault="00001F3D" w:rsidP="002B0E3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line="240" w:lineRule="auto"/>
        <w:ind w:left="993" w:right="567" w:hanging="426"/>
        <w:rPr>
          <w:rFonts w:cs="Times New Roman"/>
          <w:sz w:val="20"/>
          <w:szCs w:val="20"/>
        </w:rPr>
      </w:pPr>
      <w:r w:rsidRPr="00811EE0">
        <w:rPr>
          <w:rFonts w:cs="Times New Roman"/>
          <w:color w:val="000000"/>
          <w:sz w:val="20"/>
          <w:szCs w:val="20"/>
        </w:rPr>
        <w:t>II</w:t>
      </w:r>
      <w:r w:rsidRPr="00811EE0">
        <w:rPr>
          <w:rFonts w:cs="Times New Roman"/>
          <w:color w:val="000000"/>
          <w:sz w:val="20"/>
          <w:szCs w:val="20"/>
        </w:rPr>
        <w:tab/>
        <w:t>Consideraciones generales</w:t>
      </w:r>
    </w:p>
    <w:p w14:paraId="53CEAC8F" w14:textId="77777777" w:rsidR="00E017CC" w:rsidRPr="00811EE0" w:rsidRDefault="00001F3D" w:rsidP="002B0E3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line="240" w:lineRule="auto"/>
        <w:ind w:left="993" w:right="567" w:hanging="426"/>
        <w:rPr>
          <w:rFonts w:cs="Times New Roman"/>
          <w:sz w:val="20"/>
          <w:szCs w:val="20"/>
        </w:rPr>
      </w:pPr>
      <w:r w:rsidRPr="00811EE0">
        <w:rPr>
          <w:rFonts w:cs="Times New Roman"/>
          <w:bCs/>
          <w:color w:val="000000"/>
          <w:sz w:val="20"/>
          <w:szCs w:val="20"/>
        </w:rPr>
        <w:t>III</w:t>
      </w:r>
      <w:r w:rsidRPr="00811EE0">
        <w:rPr>
          <w:rFonts w:cs="Times New Roman"/>
          <w:bCs/>
          <w:color w:val="000000"/>
          <w:sz w:val="20"/>
          <w:szCs w:val="20"/>
        </w:rPr>
        <w:tab/>
      </w:r>
      <w:r w:rsidR="000236C5" w:rsidRPr="00811EE0">
        <w:rPr>
          <w:rFonts w:cs="Times New Roman"/>
          <w:bCs/>
          <w:color w:val="000000"/>
          <w:sz w:val="20"/>
          <w:szCs w:val="20"/>
        </w:rPr>
        <w:t>Definiciones</w:t>
      </w:r>
    </w:p>
    <w:p w14:paraId="53CEAC90" w14:textId="77777777" w:rsidR="00E017CC" w:rsidRPr="00811EE0" w:rsidRDefault="00001F3D" w:rsidP="002B0E31">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60" w:line="240" w:lineRule="auto"/>
        <w:ind w:left="993" w:right="567" w:hanging="426"/>
        <w:rPr>
          <w:rFonts w:cs="Times New Roman"/>
          <w:color w:val="000000"/>
          <w:sz w:val="20"/>
          <w:szCs w:val="20"/>
        </w:rPr>
      </w:pPr>
      <w:r w:rsidRPr="00811EE0">
        <w:rPr>
          <w:rFonts w:cs="Times New Roman"/>
          <w:color w:val="000000"/>
          <w:sz w:val="20"/>
          <w:szCs w:val="20"/>
        </w:rPr>
        <w:t>IV</w:t>
      </w:r>
      <w:r w:rsidRPr="00811EE0">
        <w:rPr>
          <w:rFonts w:cs="Times New Roman"/>
          <w:color w:val="000000"/>
          <w:sz w:val="20"/>
          <w:szCs w:val="20"/>
        </w:rPr>
        <w:tab/>
      </w:r>
      <w:r w:rsidR="00E017CC" w:rsidRPr="00811EE0">
        <w:rPr>
          <w:rFonts w:cs="Times New Roman"/>
          <w:color w:val="000000"/>
          <w:sz w:val="20"/>
          <w:szCs w:val="20"/>
        </w:rPr>
        <w:t>Consideraciones</w:t>
      </w:r>
      <w:r w:rsidR="000236C5" w:rsidRPr="00811EE0">
        <w:rPr>
          <w:rFonts w:cs="Times New Roman"/>
          <w:color w:val="000000"/>
          <w:sz w:val="20"/>
          <w:szCs w:val="20"/>
        </w:rPr>
        <w:t xml:space="preserve"> para la aceptación del encargo</w:t>
      </w:r>
    </w:p>
    <w:p w14:paraId="53CEAC91" w14:textId="77777777" w:rsidR="00E017CC" w:rsidRPr="00811EE0" w:rsidRDefault="00001F3D" w:rsidP="002B0E3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line="240" w:lineRule="auto"/>
        <w:ind w:left="993" w:right="567" w:hanging="426"/>
        <w:rPr>
          <w:rFonts w:cs="Times New Roman"/>
          <w:sz w:val="20"/>
          <w:szCs w:val="20"/>
        </w:rPr>
      </w:pPr>
      <w:r w:rsidRPr="00811EE0">
        <w:rPr>
          <w:rFonts w:cs="Times New Roman"/>
          <w:color w:val="000000"/>
          <w:sz w:val="20"/>
          <w:szCs w:val="20"/>
        </w:rPr>
        <w:t>V</w:t>
      </w:r>
      <w:r w:rsidRPr="00811EE0">
        <w:rPr>
          <w:rFonts w:cs="Times New Roman"/>
          <w:color w:val="000000"/>
          <w:sz w:val="20"/>
          <w:szCs w:val="20"/>
        </w:rPr>
        <w:tab/>
      </w:r>
      <w:r w:rsidR="00E017CC" w:rsidRPr="00811EE0">
        <w:rPr>
          <w:rFonts w:cs="Times New Roman"/>
          <w:color w:val="000000"/>
          <w:sz w:val="20"/>
          <w:szCs w:val="20"/>
        </w:rPr>
        <w:t>Consideraciones para la planificación y realización de la auditoria</w:t>
      </w:r>
    </w:p>
    <w:p w14:paraId="53CEAC92" w14:textId="77777777" w:rsidR="00E017CC" w:rsidRPr="00811EE0" w:rsidRDefault="00001F3D" w:rsidP="002B0E3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line="240" w:lineRule="auto"/>
        <w:ind w:left="993" w:right="567" w:hanging="426"/>
        <w:rPr>
          <w:rFonts w:cs="Times New Roman"/>
          <w:sz w:val="20"/>
          <w:szCs w:val="20"/>
        </w:rPr>
      </w:pPr>
      <w:r w:rsidRPr="00811EE0">
        <w:rPr>
          <w:rFonts w:cs="Times New Roman"/>
          <w:color w:val="000000"/>
          <w:sz w:val="20"/>
          <w:szCs w:val="20"/>
        </w:rPr>
        <w:t>VI</w:t>
      </w:r>
      <w:r w:rsidRPr="00811EE0">
        <w:rPr>
          <w:rFonts w:cs="Times New Roman"/>
          <w:color w:val="000000"/>
          <w:sz w:val="20"/>
          <w:szCs w:val="20"/>
        </w:rPr>
        <w:tab/>
      </w:r>
      <w:r w:rsidR="00E017CC" w:rsidRPr="00811EE0">
        <w:rPr>
          <w:rFonts w:cs="Times New Roman"/>
          <w:color w:val="000000"/>
          <w:sz w:val="20"/>
          <w:szCs w:val="20"/>
        </w:rPr>
        <w:t>Consideraciones relativas a la formación de la opinión y al informe</w:t>
      </w:r>
    </w:p>
    <w:p w14:paraId="53CEAC93" w14:textId="77777777" w:rsidR="00DD464D" w:rsidRPr="00811EE0" w:rsidRDefault="00001F3D" w:rsidP="002B0E3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line="240" w:lineRule="auto"/>
        <w:ind w:left="993" w:right="567" w:hanging="426"/>
        <w:rPr>
          <w:rFonts w:cs="Times New Roman"/>
          <w:color w:val="000000"/>
          <w:sz w:val="20"/>
          <w:szCs w:val="20"/>
        </w:rPr>
      </w:pPr>
      <w:r w:rsidRPr="00811EE0">
        <w:rPr>
          <w:rFonts w:cs="Times New Roman"/>
          <w:color w:val="000000"/>
          <w:sz w:val="20"/>
          <w:szCs w:val="20"/>
        </w:rPr>
        <w:t>VII</w:t>
      </w:r>
      <w:r w:rsidRPr="00811EE0">
        <w:rPr>
          <w:rFonts w:cs="Times New Roman"/>
          <w:color w:val="000000"/>
          <w:sz w:val="20"/>
          <w:szCs w:val="20"/>
        </w:rPr>
        <w:tab/>
      </w:r>
      <w:r w:rsidR="00DD464D" w:rsidRPr="00811EE0">
        <w:rPr>
          <w:rFonts w:cs="Times New Roman"/>
          <w:color w:val="000000"/>
          <w:sz w:val="20"/>
          <w:szCs w:val="20"/>
        </w:rPr>
        <w:t>Consideraciones cuando se emiten informes sobre el conjunto completo de estados financieros de la entidad y sobre un solo estado financiero o sobre un elemento específico de dichos estados financieros</w:t>
      </w:r>
    </w:p>
    <w:p w14:paraId="53CEAC94" w14:textId="77777777" w:rsidR="006617A2" w:rsidRPr="00811EE0" w:rsidRDefault="006617A2" w:rsidP="002B0E3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line="240" w:lineRule="auto"/>
        <w:ind w:left="993" w:right="567" w:hanging="426"/>
        <w:rPr>
          <w:rFonts w:cs="Times New Roman"/>
          <w:color w:val="000000"/>
          <w:sz w:val="20"/>
          <w:szCs w:val="20"/>
        </w:rPr>
      </w:pPr>
      <w:r w:rsidRPr="00811EE0">
        <w:rPr>
          <w:rFonts w:cs="Times New Roman"/>
          <w:color w:val="000000"/>
          <w:sz w:val="20"/>
          <w:szCs w:val="20"/>
        </w:rPr>
        <w:t>VIII</w:t>
      </w:r>
      <w:r w:rsidRPr="00811EE0">
        <w:rPr>
          <w:rFonts w:cs="Times New Roman"/>
          <w:color w:val="000000"/>
          <w:sz w:val="20"/>
          <w:szCs w:val="20"/>
        </w:rPr>
        <w:tab/>
        <w:t>Modelos de informes</w:t>
      </w:r>
    </w:p>
    <w:p w14:paraId="53CEAC95" w14:textId="77777777" w:rsidR="00E017CC" w:rsidRPr="00811EE0" w:rsidRDefault="00E017CC" w:rsidP="002B0E31">
      <w:pPr>
        <w:widowControl w:val="0"/>
        <w:pBdr>
          <w:top w:val="single" w:sz="4" w:space="1" w:color="auto"/>
          <w:left w:val="single" w:sz="4" w:space="4" w:color="auto"/>
          <w:bottom w:val="single" w:sz="4" w:space="1" w:color="auto"/>
          <w:right w:val="single" w:sz="4" w:space="4" w:color="auto"/>
        </w:pBdr>
        <w:tabs>
          <w:tab w:val="left" w:pos="1418"/>
          <w:tab w:val="right" w:pos="7938"/>
        </w:tabs>
        <w:autoSpaceDE w:val="0"/>
        <w:autoSpaceDN w:val="0"/>
        <w:adjustRightInd w:val="0"/>
        <w:spacing w:before="60" w:after="60" w:line="240" w:lineRule="auto"/>
        <w:ind w:left="1418" w:right="567" w:hanging="851"/>
        <w:rPr>
          <w:rFonts w:cs="Times New Roman"/>
          <w:sz w:val="20"/>
          <w:szCs w:val="20"/>
        </w:rPr>
      </w:pPr>
      <w:r w:rsidRPr="00811EE0">
        <w:rPr>
          <w:rFonts w:cs="Times New Roman"/>
          <w:color w:val="000000"/>
          <w:sz w:val="20"/>
          <w:szCs w:val="20"/>
        </w:rPr>
        <w:t xml:space="preserve">Anexo </w:t>
      </w:r>
    </w:p>
    <w:p w14:paraId="53CEAC97" w14:textId="77777777" w:rsidR="00F50B5A" w:rsidRPr="00811EE0" w:rsidRDefault="00001F3D" w:rsidP="00001F3D">
      <w:pPr>
        <w:tabs>
          <w:tab w:val="left" w:pos="426"/>
        </w:tabs>
        <w:autoSpaceDE w:val="0"/>
        <w:autoSpaceDN w:val="0"/>
        <w:adjustRightInd w:val="0"/>
        <w:spacing w:before="240" w:after="120" w:line="240" w:lineRule="auto"/>
        <w:rPr>
          <w:rFonts w:ascii="TimesNewRomanPS-BoldMT" w:eastAsiaTheme="minorHAnsi" w:hAnsi="TimesNewRomanPS-BoldMT" w:cs="TimesNewRomanPS-BoldMT"/>
          <w:b/>
          <w:bCs/>
          <w:sz w:val="28"/>
          <w:szCs w:val="28"/>
          <w:lang w:eastAsia="en-US"/>
        </w:rPr>
      </w:pPr>
      <w:r w:rsidRPr="00811EE0">
        <w:rPr>
          <w:rFonts w:cs="Times New Roman"/>
          <w:b/>
          <w:color w:val="000000"/>
          <w:sz w:val="20"/>
          <w:szCs w:val="20"/>
        </w:rPr>
        <w:t>I</w:t>
      </w:r>
      <w:r w:rsidRPr="00811EE0">
        <w:rPr>
          <w:rFonts w:cs="Times New Roman"/>
          <w:b/>
          <w:color w:val="000000"/>
          <w:sz w:val="20"/>
          <w:szCs w:val="20"/>
        </w:rPr>
        <w:tab/>
      </w:r>
      <w:r w:rsidR="00F50B5A" w:rsidRPr="00811EE0">
        <w:rPr>
          <w:rFonts w:cs="Times New Roman"/>
          <w:b/>
          <w:color w:val="000000"/>
          <w:sz w:val="20"/>
          <w:szCs w:val="20"/>
        </w:rPr>
        <w:t>Introducción</w:t>
      </w:r>
      <w:r w:rsidR="00F50B5A" w:rsidRPr="00811EE0">
        <w:rPr>
          <w:rFonts w:ascii="TimesNewRomanPS-BoldMT" w:eastAsiaTheme="minorHAnsi" w:hAnsi="TimesNewRomanPS-BoldMT" w:cs="TimesNewRomanPS-BoldMT"/>
          <w:b/>
          <w:bCs/>
          <w:sz w:val="28"/>
          <w:szCs w:val="28"/>
          <w:lang w:eastAsia="en-US"/>
        </w:rPr>
        <w:t xml:space="preserve"> </w:t>
      </w:r>
    </w:p>
    <w:p w14:paraId="53CEAC98" w14:textId="2586A5FE" w:rsidR="00001F3D" w:rsidRPr="00811EE0" w:rsidRDefault="00001F3D" w:rsidP="00001F3D">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Entre las actuaciones cubiertas por la ISSAI-ES 200, se encuentran </w:t>
      </w:r>
      <w:r w:rsidR="004931AE" w:rsidRPr="00811EE0">
        <w:rPr>
          <w:sz w:val="20"/>
          <w:szCs w:val="20"/>
        </w:rPr>
        <w:t>las fiscalizaciones</w:t>
      </w:r>
      <w:r w:rsidRPr="00811EE0">
        <w:rPr>
          <w:sz w:val="20"/>
          <w:szCs w:val="20"/>
        </w:rPr>
        <w:t xml:space="preserve"> de un solo estado financiero o de un elemento, cuenta o partida específicos de un estado financiero, respecto de las que con carácter general establece que:</w:t>
      </w:r>
    </w:p>
    <w:p w14:paraId="53CEAC99" w14:textId="77777777" w:rsidR="00001F3D" w:rsidRPr="00811EE0" w:rsidRDefault="00001F3D" w:rsidP="00001F3D">
      <w:pPr>
        <w:spacing w:before="120" w:after="120" w:line="240" w:lineRule="auto"/>
        <w:ind w:left="993" w:right="281" w:hanging="567"/>
        <w:jc w:val="both"/>
        <w:rPr>
          <w:rFonts w:eastAsia="Arial" w:cs="Arial"/>
          <w:i/>
          <w:sz w:val="20"/>
          <w:szCs w:val="20"/>
        </w:rPr>
      </w:pPr>
      <w:r w:rsidRPr="00811EE0">
        <w:rPr>
          <w:rFonts w:eastAsia="Arial" w:cs="Arial"/>
          <w:i/>
          <w:sz w:val="20"/>
          <w:szCs w:val="20"/>
        </w:rPr>
        <w:t xml:space="preserve">“24. </w:t>
      </w:r>
      <w:r w:rsidRPr="00811EE0">
        <w:rPr>
          <w:rFonts w:eastAsia="Arial" w:cs="Arial"/>
          <w:i/>
          <w:sz w:val="20"/>
          <w:szCs w:val="20"/>
        </w:rPr>
        <w:tab/>
        <w:t xml:space="preserve">Los principios de la ISSAI-ES 200 también son aplicables a auditorías de entidades del sector público que preparan información financiera, incluyendo estados financieros individuales o elementos, cuentas o partidas específicas de un estado financiero, para otros usuarios (como organismos rectores, el legislativo u órganos de regulación y supervisión). Dicha información puede estar sujeta a la actuación fiscalizadora de las ICEX. </w:t>
      </w:r>
    </w:p>
    <w:p w14:paraId="53CEAC9A" w14:textId="77777777" w:rsidR="00001F3D" w:rsidRPr="00811EE0" w:rsidRDefault="00001F3D" w:rsidP="00001F3D">
      <w:pPr>
        <w:spacing w:before="120" w:after="120" w:line="240" w:lineRule="auto"/>
        <w:ind w:left="993" w:right="281"/>
        <w:jc w:val="both"/>
        <w:rPr>
          <w:rFonts w:eastAsia="Arial" w:cs="Arial"/>
          <w:i/>
          <w:sz w:val="20"/>
          <w:szCs w:val="20"/>
        </w:rPr>
      </w:pPr>
      <w:r w:rsidRPr="00811EE0">
        <w:rPr>
          <w:rFonts w:eastAsia="Arial" w:cs="Arial"/>
          <w:i/>
          <w:sz w:val="20"/>
          <w:szCs w:val="20"/>
        </w:rPr>
        <w:t>Los auditores también pueden estar obligados a auditar un solo estado financiero o un elemento, cuenta o partida específicos de un estado financiero -como proyectos financiados por el gobierno- aunque ello no conlleve el compromiso de auditar el conjunto completo de estados financieros de la entidad en cuestión.</w:t>
      </w:r>
    </w:p>
    <w:p w14:paraId="53CEAC9B" w14:textId="77777777" w:rsidR="00001F3D" w:rsidRPr="00811EE0" w:rsidRDefault="00001F3D" w:rsidP="00001F3D">
      <w:pPr>
        <w:spacing w:before="120" w:after="120" w:line="240" w:lineRule="auto"/>
        <w:ind w:left="993" w:right="281" w:hanging="567"/>
        <w:jc w:val="both"/>
        <w:rPr>
          <w:rFonts w:eastAsia="Arial" w:cs="Arial"/>
          <w:i/>
          <w:sz w:val="20"/>
          <w:szCs w:val="20"/>
        </w:rPr>
      </w:pPr>
      <w:r w:rsidRPr="00811EE0">
        <w:rPr>
          <w:rFonts w:eastAsia="Arial" w:cs="Arial"/>
          <w:i/>
          <w:sz w:val="20"/>
          <w:szCs w:val="20"/>
        </w:rPr>
        <w:t xml:space="preserve">25. </w:t>
      </w:r>
      <w:r w:rsidRPr="00811EE0">
        <w:rPr>
          <w:rFonts w:eastAsia="Arial" w:cs="Arial"/>
          <w:i/>
          <w:sz w:val="20"/>
          <w:szCs w:val="20"/>
        </w:rPr>
        <w:tab/>
        <w:t>También puede ser de utilidad a las ICEX considerar los requerimientos y orientación contenida en la ISSAI 1805, al desarrollar o adaptar normas basadas en los principios de la ISSAI-ES 200. La ISSAI 1805 aborda consideraciones especiales para la aplicación de los requerimientos de las NIA-ES a la auditoría de un solo estado financiero o de un elemento, cuenta o partida específicos de un estado financiero preparados de conformidad con un marco de fines generales o de fines específicos.”</w:t>
      </w:r>
    </w:p>
    <w:p w14:paraId="53CEAC9C" w14:textId="77777777" w:rsidR="00AF0F87" w:rsidRPr="00811EE0" w:rsidRDefault="00AF0F87" w:rsidP="00916B19">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rFonts w:eastAsiaTheme="minorHAnsi" w:cs="TimesNewRomanPSMT"/>
          <w:sz w:val="20"/>
          <w:szCs w:val="20"/>
          <w:lang w:eastAsia="en-US"/>
        </w:rPr>
        <w:t xml:space="preserve">Esta </w:t>
      </w:r>
      <w:r w:rsidR="00F50B5A" w:rsidRPr="00811EE0">
        <w:rPr>
          <w:rFonts w:eastAsiaTheme="minorHAnsi" w:cs="TimesNewRomanPSMT"/>
          <w:sz w:val="20"/>
          <w:szCs w:val="20"/>
          <w:lang w:eastAsia="en-US"/>
        </w:rPr>
        <w:t>Guía</w:t>
      </w:r>
      <w:r w:rsidRPr="00811EE0">
        <w:rPr>
          <w:rFonts w:eastAsiaTheme="minorHAnsi" w:cs="TimesNewRomanPSMT"/>
          <w:sz w:val="20"/>
          <w:szCs w:val="20"/>
          <w:lang w:eastAsia="en-US"/>
        </w:rPr>
        <w:t xml:space="preserve"> </w:t>
      </w:r>
      <w:r w:rsidR="00DD464D" w:rsidRPr="00811EE0">
        <w:rPr>
          <w:rFonts w:eastAsiaTheme="minorHAnsi" w:cs="TimesNewRomanPSMT"/>
          <w:sz w:val="20"/>
          <w:szCs w:val="20"/>
          <w:lang w:eastAsia="en-US"/>
        </w:rPr>
        <w:t>p</w:t>
      </w:r>
      <w:r w:rsidRPr="00811EE0">
        <w:rPr>
          <w:rFonts w:eastAsiaTheme="minorHAnsi" w:cs="TimesNewRomanPSMT"/>
          <w:sz w:val="20"/>
          <w:szCs w:val="20"/>
          <w:lang w:eastAsia="en-US"/>
        </w:rPr>
        <w:t>ráctica proporciona orientaciones sobre la</w:t>
      </w:r>
      <w:r w:rsidR="00F50B5A" w:rsidRPr="00811EE0">
        <w:rPr>
          <w:rFonts w:eastAsiaTheme="minorHAnsi" w:cs="TimesNewRomanPSMT"/>
          <w:sz w:val="20"/>
          <w:szCs w:val="20"/>
          <w:lang w:eastAsia="en-US"/>
        </w:rPr>
        <w:t>s</w:t>
      </w:r>
      <w:r w:rsidRPr="00811EE0">
        <w:rPr>
          <w:rFonts w:eastAsiaTheme="minorHAnsi" w:cs="TimesNewRomanPSMT"/>
          <w:sz w:val="20"/>
          <w:szCs w:val="20"/>
          <w:lang w:eastAsia="en-US"/>
        </w:rPr>
        <w:t xml:space="preserve"> </w:t>
      </w:r>
      <w:r w:rsidR="00F50B5A" w:rsidRPr="00811EE0">
        <w:rPr>
          <w:rFonts w:eastAsiaTheme="minorHAnsi" w:cs="TimesNewRomanPSMT"/>
          <w:sz w:val="20"/>
          <w:szCs w:val="20"/>
          <w:lang w:eastAsia="en-US"/>
        </w:rPr>
        <w:t>auditorías de un solo estado financiero o de un elemento, cuenta o partida específicos de un estado financiero</w:t>
      </w:r>
      <w:r w:rsidRPr="00811EE0">
        <w:rPr>
          <w:rFonts w:eastAsiaTheme="minorHAnsi" w:cs="TimesNewRomanPSMT"/>
          <w:sz w:val="20"/>
          <w:szCs w:val="20"/>
          <w:lang w:eastAsia="en-US"/>
        </w:rPr>
        <w:t xml:space="preserve">, </w:t>
      </w:r>
      <w:r w:rsidR="00F50B5A" w:rsidRPr="00811EE0">
        <w:rPr>
          <w:rFonts w:eastAsiaTheme="minorHAnsi" w:cs="TimesNewRomanPSMT"/>
          <w:sz w:val="20"/>
          <w:szCs w:val="20"/>
          <w:lang w:eastAsia="en-US"/>
        </w:rPr>
        <w:t>e incorpora todos los requisitos establecidos en la ISSAI-ES 200 y en la NIA 805.</w:t>
      </w:r>
    </w:p>
    <w:p w14:paraId="53CEAC9D" w14:textId="77777777" w:rsidR="00916B19" w:rsidRPr="00811EE0" w:rsidRDefault="00916B19" w:rsidP="00916B19">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De acuerdo con su mandato legal </w:t>
      </w:r>
      <w:r w:rsidR="009D06D2" w:rsidRPr="00811EE0">
        <w:rPr>
          <w:sz w:val="20"/>
          <w:szCs w:val="20"/>
        </w:rPr>
        <w:t>las ICEX</w:t>
      </w:r>
      <w:r w:rsidRPr="00811EE0">
        <w:rPr>
          <w:sz w:val="20"/>
          <w:szCs w:val="20"/>
        </w:rPr>
        <w:t xml:space="preserve"> realiza</w:t>
      </w:r>
      <w:r w:rsidR="009D06D2" w:rsidRPr="00811EE0">
        <w:rPr>
          <w:sz w:val="20"/>
          <w:szCs w:val="20"/>
        </w:rPr>
        <w:t>n</w:t>
      </w:r>
      <w:r w:rsidRPr="00811EE0">
        <w:rPr>
          <w:sz w:val="20"/>
          <w:szCs w:val="20"/>
        </w:rPr>
        <w:t xml:space="preserve"> de forma habitual, entre otras, auditorías de </w:t>
      </w:r>
      <w:r w:rsidRPr="00811EE0">
        <w:rPr>
          <w:rFonts w:eastAsiaTheme="minorHAnsi" w:cs="TimesNewRomanPSMT"/>
          <w:sz w:val="20"/>
          <w:szCs w:val="20"/>
          <w:lang w:eastAsia="en-US"/>
        </w:rPr>
        <w:t xml:space="preserve">un elemento, cuenta o partida específicos de un estado financiero, aspectos que son contemplados en la NIA 805. </w:t>
      </w:r>
    </w:p>
    <w:p w14:paraId="53CEAC9E" w14:textId="0AA10FAE" w:rsidR="00916B19" w:rsidRPr="00811EE0" w:rsidRDefault="00916B19" w:rsidP="00916B19">
      <w:pPr>
        <w:pStyle w:val="Prrafodelista"/>
        <w:autoSpaceDE w:val="0"/>
        <w:autoSpaceDN w:val="0"/>
        <w:adjustRightInd w:val="0"/>
        <w:spacing w:before="120" w:after="120" w:line="240" w:lineRule="auto"/>
        <w:ind w:left="425"/>
        <w:contextualSpacing w:val="0"/>
        <w:jc w:val="both"/>
        <w:rPr>
          <w:sz w:val="20"/>
          <w:szCs w:val="20"/>
        </w:rPr>
      </w:pPr>
      <w:r w:rsidRPr="00811EE0">
        <w:rPr>
          <w:rFonts w:eastAsiaTheme="minorHAnsi" w:cs="TimesNewRomanPSMT"/>
          <w:sz w:val="20"/>
          <w:szCs w:val="20"/>
          <w:lang w:eastAsia="en-US"/>
        </w:rPr>
        <w:t xml:space="preserve">Sin </w:t>
      </w:r>
      <w:r w:rsidR="004931AE" w:rsidRPr="00811EE0">
        <w:rPr>
          <w:rFonts w:eastAsiaTheme="minorHAnsi" w:cs="TimesNewRomanPSMT"/>
          <w:sz w:val="20"/>
          <w:szCs w:val="20"/>
          <w:lang w:eastAsia="en-US"/>
        </w:rPr>
        <w:t>embargo,</w:t>
      </w:r>
      <w:r w:rsidRPr="00811EE0">
        <w:rPr>
          <w:rFonts w:eastAsiaTheme="minorHAnsi" w:cs="TimesNewRomanPSMT"/>
          <w:sz w:val="20"/>
          <w:szCs w:val="20"/>
          <w:lang w:eastAsia="en-US"/>
        </w:rPr>
        <w:t xml:space="preserve"> el ICAC en la adaptación de dicha norma ha eliminado las consideraciones sobre esos aspectos y ha aprobado la NIA-ES 805 sobre “Auditoría de un solo estado financiero”, ya que la Ley de Auditoría de Cuentas aplicable al sector privado no contempla la posibilidad de realizar auditorías de un elemento, cuenta o partida específicos de un estado financiero. </w:t>
      </w:r>
      <w:r w:rsidR="00230A64" w:rsidRPr="00811EE0">
        <w:rPr>
          <w:rFonts w:eastAsiaTheme="minorHAnsi" w:cs="TimesNewRomanPSMT"/>
          <w:sz w:val="20"/>
          <w:szCs w:val="20"/>
          <w:lang w:eastAsia="en-US"/>
        </w:rPr>
        <w:t xml:space="preserve">La IGAE no ha adaptado al sector público esta NIA-ES. </w:t>
      </w:r>
      <w:r w:rsidRPr="00811EE0">
        <w:rPr>
          <w:rFonts w:eastAsiaTheme="minorHAnsi" w:cs="TimesNewRomanPSMT"/>
          <w:sz w:val="20"/>
          <w:szCs w:val="20"/>
          <w:lang w:eastAsia="en-US"/>
        </w:rPr>
        <w:t>Por esta razón en la elaboración de esta Guía práctica se ha tenido en consideración</w:t>
      </w:r>
      <w:r w:rsidR="00050F46" w:rsidRPr="00811EE0">
        <w:rPr>
          <w:rFonts w:eastAsiaTheme="minorHAnsi" w:cs="TimesNewRomanPSMT"/>
          <w:sz w:val="20"/>
          <w:szCs w:val="20"/>
          <w:lang w:eastAsia="en-US"/>
        </w:rPr>
        <w:t xml:space="preserve"> también</w:t>
      </w:r>
      <w:r w:rsidRPr="00811EE0">
        <w:rPr>
          <w:rFonts w:eastAsiaTheme="minorHAnsi" w:cs="TimesNewRomanPSMT"/>
          <w:sz w:val="20"/>
          <w:szCs w:val="20"/>
          <w:lang w:eastAsia="en-US"/>
        </w:rPr>
        <w:t xml:space="preserve"> la NIA 805 original.</w:t>
      </w:r>
      <w:r w:rsidR="00230A64" w:rsidRPr="00811EE0">
        <w:rPr>
          <w:rFonts w:eastAsiaTheme="minorHAnsi" w:cs="TimesNewRomanPSMT"/>
          <w:sz w:val="20"/>
          <w:szCs w:val="20"/>
          <w:lang w:eastAsia="en-US"/>
        </w:rPr>
        <w:t xml:space="preserve"> </w:t>
      </w:r>
    </w:p>
    <w:p w14:paraId="53CEAC9F" w14:textId="77777777" w:rsidR="009D06D2" w:rsidRPr="00811EE0" w:rsidRDefault="009D06D2" w:rsidP="009D06D2">
      <w:pPr>
        <w:pStyle w:val="Prrafodelista"/>
        <w:numPr>
          <w:ilvl w:val="0"/>
          <w:numId w:val="12"/>
        </w:numPr>
        <w:tabs>
          <w:tab w:val="right" w:pos="8789"/>
        </w:tabs>
        <w:spacing w:before="120" w:after="120" w:line="240" w:lineRule="auto"/>
        <w:ind w:left="426" w:right="6" w:hanging="426"/>
        <w:contextualSpacing w:val="0"/>
        <w:jc w:val="both"/>
        <w:rPr>
          <w:sz w:val="20"/>
        </w:rPr>
      </w:pPr>
      <w:r w:rsidRPr="00811EE0">
        <w:rPr>
          <w:sz w:val="20"/>
        </w:rPr>
        <w:lastRenderedPageBreak/>
        <w:t xml:space="preserve">Habitualmente los objetivos de una auditoría financiera del sector público son más amplios que una simple expresión de una opinión sobre si los estados financieros han sido preparados, en todos los aspectos importantes, de conformidad con el marco de información financiera aplicable. </w:t>
      </w:r>
      <w:r w:rsidRPr="00811EE0">
        <w:rPr>
          <w:i/>
          <w:sz w:val="18"/>
        </w:rPr>
        <w:t>(</w:t>
      </w:r>
      <w:r w:rsidRPr="00811EE0">
        <w:rPr>
          <w:rFonts w:ascii="Calibri" w:hAnsi="Calibri"/>
          <w:i/>
          <w:sz w:val="18"/>
        </w:rPr>
        <w:t>ISSAI-ES 200; P135)</w:t>
      </w:r>
    </w:p>
    <w:p w14:paraId="53CEACA0" w14:textId="77777777" w:rsidR="009D06D2" w:rsidRPr="00811EE0" w:rsidRDefault="009D06D2" w:rsidP="009D06D2">
      <w:pPr>
        <w:pStyle w:val="Prrafodelista"/>
        <w:tabs>
          <w:tab w:val="right" w:pos="8789"/>
        </w:tabs>
        <w:spacing w:before="120" w:after="120" w:line="240" w:lineRule="auto"/>
        <w:ind w:left="426" w:right="6"/>
        <w:contextualSpacing w:val="0"/>
        <w:jc w:val="both"/>
        <w:rPr>
          <w:sz w:val="20"/>
        </w:rPr>
      </w:pPr>
      <w:r w:rsidRPr="00811EE0">
        <w:rPr>
          <w:sz w:val="20"/>
        </w:rPr>
        <w:t xml:space="preserve">El mandato legal de fiscalización o la solicitud del órgano legislativo correspondiente pueden incluir objetivos adicionales de igual importancia a la opinión sobre los estados financieros. Estos objetivos adicionales pueden incluir actuaciones de fiscalización e información relativas a, por ejemplo, cualquier investigación sobre el incumplimiento de la normativa. </w:t>
      </w:r>
    </w:p>
    <w:p w14:paraId="53CEACA1" w14:textId="77777777" w:rsidR="009D06D2" w:rsidRPr="00811EE0" w:rsidRDefault="009D06D2" w:rsidP="009D06D2">
      <w:pPr>
        <w:pStyle w:val="Prrafodelista"/>
        <w:tabs>
          <w:tab w:val="right" w:pos="8789"/>
        </w:tabs>
        <w:spacing w:before="120" w:after="120" w:line="240" w:lineRule="auto"/>
        <w:ind w:left="426" w:right="6"/>
        <w:contextualSpacing w:val="0"/>
        <w:jc w:val="both"/>
        <w:rPr>
          <w:sz w:val="20"/>
        </w:rPr>
      </w:pPr>
      <w:r w:rsidRPr="00811EE0">
        <w:rPr>
          <w:sz w:val="20"/>
        </w:rPr>
        <w:t>Sin embargo, incluso donde no se han establecido objetivos adicionales, pueden existir expectativas públicas generales que exigen informar acerca del incumplimiento de la normativa o en relación con la eficacia de los controles internos.</w:t>
      </w:r>
    </w:p>
    <w:p w14:paraId="53CEACA2" w14:textId="77777777" w:rsidR="00C55530" w:rsidRPr="00811EE0" w:rsidRDefault="00AF0F87" w:rsidP="00BF4D1A">
      <w:pPr>
        <w:pStyle w:val="Prrafodelista"/>
        <w:autoSpaceDE w:val="0"/>
        <w:autoSpaceDN w:val="0"/>
        <w:adjustRightInd w:val="0"/>
        <w:spacing w:before="120" w:after="120" w:line="240" w:lineRule="auto"/>
        <w:ind w:left="425"/>
        <w:contextualSpacing w:val="0"/>
        <w:jc w:val="both"/>
        <w:rPr>
          <w:sz w:val="20"/>
          <w:szCs w:val="20"/>
        </w:rPr>
      </w:pPr>
      <w:r w:rsidRPr="00811EE0">
        <w:rPr>
          <w:sz w:val="20"/>
          <w:szCs w:val="20"/>
        </w:rPr>
        <w:t>Así pues, los auditores del sector público han de tomar en</w:t>
      </w:r>
      <w:r w:rsidR="00E410D8" w:rsidRPr="00811EE0">
        <w:rPr>
          <w:sz w:val="20"/>
          <w:szCs w:val="20"/>
        </w:rPr>
        <w:t xml:space="preserve"> </w:t>
      </w:r>
      <w:r w:rsidRPr="00811EE0">
        <w:rPr>
          <w:sz w:val="20"/>
          <w:szCs w:val="20"/>
        </w:rPr>
        <w:t>consideración estas expectativas y mantenerse atentos a cualquier extremo que pueda dar lugar a</w:t>
      </w:r>
      <w:r w:rsidR="00E410D8" w:rsidRPr="00811EE0">
        <w:rPr>
          <w:sz w:val="20"/>
          <w:szCs w:val="20"/>
        </w:rPr>
        <w:t xml:space="preserve"> </w:t>
      </w:r>
      <w:r w:rsidRPr="00811EE0">
        <w:rPr>
          <w:sz w:val="20"/>
          <w:szCs w:val="20"/>
        </w:rPr>
        <w:t xml:space="preserve">falta de conformidad con las normas o de eficacia del control interno al ejecutar </w:t>
      </w:r>
      <w:r w:rsidR="00F50B5A" w:rsidRPr="00811EE0">
        <w:rPr>
          <w:sz w:val="20"/>
          <w:szCs w:val="20"/>
        </w:rPr>
        <w:t>auditorías de un solo estado financiero o de un elemento, cuenta o partida específicos de un estado financiero</w:t>
      </w:r>
      <w:r w:rsidRPr="00811EE0">
        <w:rPr>
          <w:sz w:val="20"/>
          <w:szCs w:val="20"/>
        </w:rPr>
        <w:t>.</w:t>
      </w:r>
    </w:p>
    <w:p w14:paraId="53CEACA3" w14:textId="77777777" w:rsidR="00870B14" w:rsidRPr="00811EE0" w:rsidRDefault="00001F3D" w:rsidP="00001F3D">
      <w:pPr>
        <w:tabs>
          <w:tab w:val="left" w:pos="426"/>
        </w:tabs>
        <w:autoSpaceDE w:val="0"/>
        <w:autoSpaceDN w:val="0"/>
        <w:adjustRightInd w:val="0"/>
        <w:spacing w:before="240" w:after="120" w:line="240" w:lineRule="auto"/>
        <w:rPr>
          <w:rFonts w:cs="Times New Roman"/>
          <w:b/>
          <w:color w:val="000000"/>
          <w:sz w:val="20"/>
          <w:szCs w:val="20"/>
        </w:rPr>
      </w:pPr>
      <w:r w:rsidRPr="00811EE0">
        <w:rPr>
          <w:rFonts w:cs="Times New Roman"/>
          <w:b/>
          <w:color w:val="000000"/>
          <w:sz w:val="20"/>
          <w:szCs w:val="20"/>
        </w:rPr>
        <w:t>II</w:t>
      </w:r>
      <w:r w:rsidRPr="00811EE0">
        <w:rPr>
          <w:rFonts w:cs="Times New Roman"/>
          <w:b/>
          <w:color w:val="000000"/>
          <w:sz w:val="20"/>
          <w:szCs w:val="20"/>
        </w:rPr>
        <w:tab/>
        <w:t>Consideraciones generales</w:t>
      </w:r>
    </w:p>
    <w:p w14:paraId="53CEACA4" w14:textId="69010B32" w:rsidR="00870B14" w:rsidRPr="00811EE0" w:rsidRDefault="00870B14" w:rsidP="00C55530">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Las </w:t>
      </w:r>
      <w:r w:rsidR="00C55530" w:rsidRPr="00811EE0">
        <w:rPr>
          <w:sz w:val="20"/>
          <w:szCs w:val="20"/>
        </w:rPr>
        <w:t>ISSAI-ES/NIA-ES</w:t>
      </w:r>
      <w:r w:rsidR="00230A64" w:rsidRPr="00811EE0">
        <w:rPr>
          <w:sz w:val="20"/>
          <w:szCs w:val="20"/>
        </w:rPr>
        <w:t>-SP</w:t>
      </w:r>
      <w:r w:rsidRPr="00811EE0">
        <w:rPr>
          <w:sz w:val="20"/>
          <w:szCs w:val="20"/>
        </w:rPr>
        <w:t xml:space="preserve"> </w:t>
      </w:r>
      <w:proofErr w:type="gramStart"/>
      <w:r w:rsidRPr="00811EE0">
        <w:rPr>
          <w:sz w:val="20"/>
          <w:szCs w:val="20"/>
        </w:rPr>
        <w:t>son de aplicación</w:t>
      </w:r>
      <w:proofErr w:type="gramEnd"/>
      <w:r w:rsidRPr="00811EE0">
        <w:rPr>
          <w:sz w:val="20"/>
          <w:szCs w:val="20"/>
        </w:rPr>
        <w:t xml:space="preserve"> a la auditoría de estados financieros y, cuando se aplican a la auditoría de otra información financiera histórica, </w:t>
      </w:r>
      <w:r w:rsidR="00C55530" w:rsidRPr="00811EE0">
        <w:rPr>
          <w:sz w:val="20"/>
          <w:szCs w:val="20"/>
        </w:rPr>
        <w:t xml:space="preserve">como cuando </w:t>
      </w:r>
      <w:r w:rsidR="00C55530" w:rsidRPr="00811EE0">
        <w:rPr>
          <w:rFonts w:cs="Times New Roman"/>
          <w:color w:val="000000"/>
          <w:sz w:val="20"/>
          <w:szCs w:val="20"/>
        </w:rPr>
        <w:t>se realice la auditoría de un solo estado financiero o un elemento específico de un estado financiero, se adaptarán en la medida en que lo requieran las circunstancias.</w:t>
      </w:r>
      <w:r w:rsidR="00C55530" w:rsidRPr="00811EE0">
        <w:rPr>
          <w:rFonts w:cs="Times New Roman"/>
          <w:i/>
          <w:color w:val="000000"/>
          <w:sz w:val="18"/>
          <w:szCs w:val="20"/>
        </w:rPr>
        <w:t xml:space="preserve"> (NIA805; P1 y A3).</w:t>
      </w:r>
    </w:p>
    <w:p w14:paraId="53CEACA5" w14:textId="77777777" w:rsidR="00870B14" w:rsidRPr="00811EE0" w:rsidRDefault="00870B14" w:rsidP="00C55530">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Algunos ejemplos de elementos, cuentas o partidas específicos de un estado financiero:</w:t>
      </w:r>
      <w:r w:rsidR="00C55530" w:rsidRPr="00811EE0">
        <w:rPr>
          <w:rFonts w:cs="Times New Roman"/>
          <w:i/>
          <w:color w:val="000000"/>
          <w:sz w:val="18"/>
          <w:szCs w:val="20"/>
        </w:rPr>
        <w:t xml:space="preserve"> (NIA805; Anexo 1).</w:t>
      </w:r>
    </w:p>
    <w:p w14:paraId="53CEACA6" w14:textId="77777777" w:rsidR="00870B14" w:rsidRPr="00811EE0" w:rsidRDefault="00870B14" w:rsidP="00E410D8">
      <w:pPr>
        <w:pStyle w:val="Prrafodelista"/>
        <w:widowControl w:val="0"/>
        <w:numPr>
          <w:ilvl w:val="0"/>
          <w:numId w:val="6"/>
        </w:numPr>
        <w:overflowPunct w:val="0"/>
        <w:autoSpaceDE w:val="0"/>
        <w:autoSpaceDN w:val="0"/>
        <w:adjustRightInd w:val="0"/>
        <w:spacing w:before="120" w:after="120" w:line="240" w:lineRule="auto"/>
        <w:ind w:left="851" w:hanging="284"/>
        <w:contextualSpacing w:val="0"/>
        <w:jc w:val="both"/>
        <w:rPr>
          <w:rFonts w:cs="Times New Roman"/>
          <w:sz w:val="20"/>
          <w:szCs w:val="20"/>
        </w:rPr>
      </w:pPr>
      <w:proofErr w:type="gramStart"/>
      <w:r w:rsidRPr="00811EE0">
        <w:rPr>
          <w:rFonts w:cs="Times New Roman"/>
          <w:color w:val="000000"/>
          <w:sz w:val="20"/>
          <w:szCs w:val="20"/>
        </w:rPr>
        <w:t>Cuentas a cobrar</w:t>
      </w:r>
      <w:proofErr w:type="gramEnd"/>
      <w:r w:rsidRPr="00811EE0">
        <w:rPr>
          <w:rFonts w:cs="Times New Roman"/>
          <w:color w:val="000000"/>
          <w:sz w:val="20"/>
          <w:szCs w:val="20"/>
        </w:rPr>
        <w:t>, corrección valorativa para cuentas a cobrar, existencias, el valor registrado de activos intangibles identificados, incluidas las correspondientes notas explicativas.</w:t>
      </w:r>
    </w:p>
    <w:p w14:paraId="53CEACA7" w14:textId="77777777" w:rsidR="00870B14" w:rsidRPr="00811EE0" w:rsidRDefault="00870B14" w:rsidP="00E410D8">
      <w:pPr>
        <w:widowControl w:val="0"/>
        <w:numPr>
          <w:ilvl w:val="0"/>
          <w:numId w:val="6"/>
        </w:numPr>
        <w:overflowPunct w:val="0"/>
        <w:autoSpaceDE w:val="0"/>
        <w:autoSpaceDN w:val="0"/>
        <w:adjustRightInd w:val="0"/>
        <w:spacing w:before="120" w:after="120" w:line="240" w:lineRule="auto"/>
        <w:ind w:left="851" w:hanging="284"/>
        <w:jc w:val="both"/>
        <w:rPr>
          <w:rFonts w:cs="Times New Roman"/>
          <w:b/>
          <w:bCs/>
          <w:color w:val="000000"/>
          <w:sz w:val="20"/>
          <w:szCs w:val="20"/>
        </w:rPr>
      </w:pPr>
      <w:r w:rsidRPr="00811EE0">
        <w:rPr>
          <w:rFonts w:cs="Times New Roman"/>
          <w:color w:val="000000"/>
          <w:sz w:val="20"/>
          <w:szCs w:val="20"/>
        </w:rPr>
        <w:t xml:space="preserve">Un documento contable de los activos gestionados externamente y de los ingresos de un fondo de pensiones privado, incluidas las correspondientes notas explicativas. </w:t>
      </w:r>
    </w:p>
    <w:p w14:paraId="53CEACA8" w14:textId="77777777" w:rsidR="00870B14" w:rsidRPr="00811EE0" w:rsidRDefault="00870B14" w:rsidP="00E410D8">
      <w:pPr>
        <w:widowControl w:val="0"/>
        <w:numPr>
          <w:ilvl w:val="0"/>
          <w:numId w:val="6"/>
        </w:numPr>
        <w:overflowPunct w:val="0"/>
        <w:autoSpaceDE w:val="0"/>
        <w:autoSpaceDN w:val="0"/>
        <w:adjustRightInd w:val="0"/>
        <w:spacing w:before="120" w:after="120" w:line="240" w:lineRule="auto"/>
        <w:ind w:left="851" w:hanging="284"/>
        <w:jc w:val="both"/>
        <w:rPr>
          <w:rFonts w:cs="Times New Roman"/>
          <w:b/>
          <w:bCs/>
          <w:color w:val="000000"/>
          <w:sz w:val="20"/>
          <w:szCs w:val="20"/>
        </w:rPr>
      </w:pPr>
      <w:r w:rsidRPr="00811EE0">
        <w:rPr>
          <w:rFonts w:cs="Times New Roman"/>
          <w:color w:val="000000"/>
          <w:sz w:val="20"/>
          <w:szCs w:val="20"/>
        </w:rPr>
        <w:t>Un documento contable de pagos relacionados con un inmovilizado en arrendamiento, incluyendo las correspondientes notas explicativas</w:t>
      </w:r>
      <w:r w:rsidR="00C55530" w:rsidRPr="00811EE0">
        <w:rPr>
          <w:rFonts w:cs="Times New Roman"/>
          <w:color w:val="000000"/>
          <w:sz w:val="20"/>
          <w:szCs w:val="20"/>
        </w:rPr>
        <w:t>.</w:t>
      </w:r>
    </w:p>
    <w:p w14:paraId="53CEACA9" w14:textId="77777777" w:rsidR="00C55530" w:rsidRPr="00811EE0" w:rsidRDefault="00C55530" w:rsidP="00E410D8">
      <w:pPr>
        <w:widowControl w:val="0"/>
        <w:numPr>
          <w:ilvl w:val="0"/>
          <w:numId w:val="6"/>
        </w:numPr>
        <w:overflowPunct w:val="0"/>
        <w:autoSpaceDE w:val="0"/>
        <w:autoSpaceDN w:val="0"/>
        <w:adjustRightInd w:val="0"/>
        <w:spacing w:before="120" w:after="120" w:line="240" w:lineRule="auto"/>
        <w:ind w:left="851" w:hanging="284"/>
        <w:jc w:val="both"/>
        <w:rPr>
          <w:rFonts w:cs="Times New Roman"/>
          <w:b/>
          <w:bCs/>
          <w:color w:val="000000"/>
          <w:sz w:val="20"/>
          <w:szCs w:val="20"/>
        </w:rPr>
      </w:pPr>
      <w:r w:rsidRPr="00811EE0">
        <w:rPr>
          <w:rFonts w:cs="Times New Roman"/>
          <w:color w:val="000000"/>
          <w:sz w:val="20"/>
          <w:szCs w:val="20"/>
        </w:rPr>
        <w:t>Un capítulo del presupuesto de ingresos o de gastos.</w:t>
      </w:r>
    </w:p>
    <w:p w14:paraId="53CEACAA" w14:textId="77777777" w:rsidR="006617A2" w:rsidRPr="00811EE0" w:rsidRDefault="006617A2" w:rsidP="00E410D8">
      <w:pPr>
        <w:widowControl w:val="0"/>
        <w:numPr>
          <w:ilvl w:val="0"/>
          <w:numId w:val="6"/>
        </w:numPr>
        <w:overflowPunct w:val="0"/>
        <w:autoSpaceDE w:val="0"/>
        <w:autoSpaceDN w:val="0"/>
        <w:adjustRightInd w:val="0"/>
        <w:spacing w:before="120" w:after="120" w:line="240" w:lineRule="auto"/>
        <w:ind w:left="851" w:hanging="284"/>
        <w:jc w:val="both"/>
        <w:rPr>
          <w:rFonts w:cs="Times New Roman"/>
          <w:b/>
          <w:bCs/>
          <w:color w:val="000000"/>
          <w:sz w:val="20"/>
          <w:szCs w:val="20"/>
        </w:rPr>
      </w:pPr>
      <w:r w:rsidRPr="00811EE0">
        <w:rPr>
          <w:rFonts w:cs="Times New Roman"/>
          <w:color w:val="000000"/>
          <w:sz w:val="20"/>
          <w:szCs w:val="20"/>
        </w:rPr>
        <w:t>La ejecución presupuestaria de un programa o grupo de programas.</w:t>
      </w:r>
    </w:p>
    <w:p w14:paraId="53CEACAB" w14:textId="77777777" w:rsidR="00C55530" w:rsidRPr="00811EE0" w:rsidRDefault="00C55530" w:rsidP="00E410D8">
      <w:pPr>
        <w:widowControl w:val="0"/>
        <w:numPr>
          <w:ilvl w:val="0"/>
          <w:numId w:val="6"/>
        </w:numPr>
        <w:overflowPunct w:val="0"/>
        <w:autoSpaceDE w:val="0"/>
        <w:autoSpaceDN w:val="0"/>
        <w:adjustRightInd w:val="0"/>
        <w:spacing w:before="120" w:after="120" w:line="240" w:lineRule="auto"/>
        <w:ind w:left="851" w:hanging="284"/>
        <w:jc w:val="both"/>
        <w:rPr>
          <w:rFonts w:cs="Times New Roman"/>
          <w:b/>
          <w:bCs/>
          <w:color w:val="000000"/>
          <w:sz w:val="20"/>
          <w:szCs w:val="20"/>
        </w:rPr>
      </w:pPr>
      <w:r w:rsidRPr="00811EE0">
        <w:rPr>
          <w:rFonts w:cs="Times New Roman"/>
          <w:color w:val="000000"/>
          <w:sz w:val="20"/>
          <w:szCs w:val="20"/>
        </w:rPr>
        <w:t>El endeudamiento.</w:t>
      </w:r>
    </w:p>
    <w:p w14:paraId="53CEACAC" w14:textId="68FF1E42" w:rsidR="00870B14" w:rsidRPr="00811EE0" w:rsidRDefault="00870B14" w:rsidP="00C55530">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El objetivo del auditor, al aplicar las </w:t>
      </w:r>
      <w:r w:rsidR="00C55530" w:rsidRPr="00811EE0">
        <w:rPr>
          <w:sz w:val="20"/>
          <w:szCs w:val="20"/>
        </w:rPr>
        <w:t>ISSAI-ES/NIA-ES</w:t>
      </w:r>
      <w:r w:rsidR="00230A64" w:rsidRPr="00811EE0">
        <w:rPr>
          <w:sz w:val="20"/>
          <w:szCs w:val="20"/>
        </w:rPr>
        <w:t>-SP</w:t>
      </w:r>
      <w:r w:rsidRPr="00811EE0">
        <w:rPr>
          <w:sz w:val="20"/>
          <w:szCs w:val="20"/>
        </w:rPr>
        <w:t xml:space="preserve"> en la auditoría de un solo estado financiero o de un elemento, cuenta o partida específicos de un estado financiero, es tratar adecuadamente las consideraciones especiales que son relevantes con respecto a: (NIA805; P5).</w:t>
      </w:r>
    </w:p>
    <w:p w14:paraId="53CEACAD" w14:textId="77777777" w:rsidR="00DD464D" w:rsidRPr="00811EE0" w:rsidRDefault="00DD464D" w:rsidP="00E410D8">
      <w:pPr>
        <w:pStyle w:val="Prrafodelista"/>
        <w:widowControl w:val="0"/>
        <w:numPr>
          <w:ilvl w:val="0"/>
          <w:numId w:val="3"/>
        </w:numPr>
        <w:overflowPunct w:val="0"/>
        <w:autoSpaceDE w:val="0"/>
        <w:autoSpaceDN w:val="0"/>
        <w:adjustRightInd w:val="0"/>
        <w:spacing w:before="120" w:after="120" w:line="240" w:lineRule="auto"/>
        <w:ind w:left="1066" w:hanging="357"/>
        <w:contextualSpacing w:val="0"/>
        <w:jc w:val="both"/>
        <w:rPr>
          <w:rFonts w:cs="Times New Roman"/>
          <w:color w:val="000000"/>
          <w:sz w:val="20"/>
          <w:szCs w:val="20"/>
        </w:rPr>
      </w:pPr>
      <w:r w:rsidRPr="00811EE0">
        <w:rPr>
          <w:rFonts w:cs="Times New Roman"/>
          <w:color w:val="000000"/>
          <w:sz w:val="20"/>
          <w:szCs w:val="20"/>
        </w:rPr>
        <w:t>La aceptación del encargo</w:t>
      </w:r>
    </w:p>
    <w:p w14:paraId="53CEACAE" w14:textId="77777777" w:rsidR="00870B14" w:rsidRPr="00811EE0" w:rsidRDefault="00870B14" w:rsidP="00E410D8">
      <w:pPr>
        <w:pStyle w:val="Prrafodelista"/>
        <w:widowControl w:val="0"/>
        <w:numPr>
          <w:ilvl w:val="0"/>
          <w:numId w:val="3"/>
        </w:numPr>
        <w:overflowPunct w:val="0"/>
        <w:autoSpaceDE w:val="0"/>
        <w:autoSpaceDN w:val="0"/>
        <w:adjustRightInd w:val="0"/>
        <w:spacing w:before="120" w:after="120" w:line="240" w:lineRule="auto"/>
        <w:ind w:left="1066" w:hanging="357"/>
        <w:contextualSpacing w:val="0"/>
        <w:jc w:val="both"/>
        <w:rPr>
          <w:rFonts w:cs="Times New Roman"/>
          <w:color w:val="000000"/>
          <w:sz w:val="20"/>
          <w:szCs w:val="20"/>
        </w:rPr>
      </w:pPr>
      <w:r w:rsidRPr="00811EE0">
        <w:rPr>
          <w:rFonts w:cs="Times New Roman"/>
          <w:color w:val="000000"/>
          <w:sz w:val="20"/>
          <w:szCs w:val="20"/>
        </w:rPr>
        <w:t xml:space="preserve">la planificación y la ejecución de dicho encargo; y </w:t>
      </w:r>
    </w:p>
    <w:p w14:paraId="53CEACAF" w14:textId="77777777" w:rsidR="00870B14" w:rsidRPr="00811EE0" w:rsidRDefault="00870B14" w:rsidP="00E410D8">
      <w:pPr>
        <w:pStyle w:val="Prrafodelista"/>
        <w:widowControl w:val="0"/>
        <w:numPr>
          <w:ilvl w:val="0"/>
          <w:numId w:val="3"/>
        </w:numPr>
        <w:overflowPunct w:val="0"/>
        <w:autoSpaceDE w:val="0"/>
        <w:autoSpaceDN w:val="0"/>
        <w:adjustRightInd w:val="0"/>
        <w:spacing w:before="120" w:after="120" w:line="240" w:lineRule="auto"/>
        <w:ind w:left="1066" w:right="20" w:hanging="357"/>
        <w:contextualSpacing w:val="0"/>
        <w:jc w:val="both"/>
        <w:rPr>
          <w:rFonts w:cs="Times New Roman"/>
          <w:color w:val="000000"/>
          <w:sz w:val="20"/>
          <w:szCs w:val="20"/>
        </w:rPr>
      </w:pPr>
      <w:r w:rsidRPr="00811EE0">
        <w:rPr>
          <w:rFonts w:cs="Times New Roman"/>
          <w:color w:val="000000"/>
          <w:sz w:val="20"/>
          <w:szCs w:val="20"/>
        </w:rPr>
        <w:t xml:space="preserve">la formación de una opinión y el informe sobre el estado financiero o sobre el elemento, cuenta o partida específicos de un estado financiero. </w:t>
      </w:r>
    </w:p>
    <w:p w14:paraId="53CEACB1" w14:textId="77777777" w:rsidR="00870B14" w:rsidRPr="00811EE0" w:rsidRDefault="00001F3D" w:rsidP="00001F3D">
      <w:pPr>
        <w:widowControl w:val="0"/>
        <w:tabs>
          <w:tab w:val="left" w:pos="426"/>
        </w:tabs>
        <w:autoSpaceDE w:val="0"/>
        <w:autoSpaceDN w:val="0"/>
        <w:adjustRightInd w:val="0"/>
        <w:spacing w:before="240" w:after="120" w:line="240" w:lineRule="auto"/>
        <w:rPr>
          <w:rFonts w:cs="Times New Roman"/>
          <w:b/>
          <w:bCs/>
          <w:color w:val="000000"/>
          <w:sz w:val="20"/>
          <w:szCs w:val="20"/>
        </w:rPr>
      </w:pPr>
      <w:r w:rsidRPr="00811EE0">
        <w:rPr>
          <w:rFonts w:cs="Times New Roman"/>
          <w:b/>
          <w:bCs/>
          <w:color w:val="000000"/>
          <w:sz w:val="20"/>
          <w:szCs w:val="20"/>
        </w:rPr>
        <w:t>III</w:t>
      </w:r>
      <w:r w:rsidRPr="00811EE0">
        <w:rPr>
          <w:rFonts w:cs="Times New Roman"/>
          <w:b/>
          <w:bCs/>
          <w:color w:val="000000"/>
          <w:sz w:val="20"/>
          <w:szCs w:val="20"/>
        </w:rPr>
        <w:tab/>
      </w:r>
      <w:r w:rsidR="00870B14" w:rsidRPr="00811EE0">
        <w:rPr>
          <w:rFonts w:cs="Times New Roman"/>
          <w:b/>
          <w:bCs/>
          <w:color w:val="000000"/>
          <w:sz w:val="20"/>
          <w:szCs w:val="20"/>
        </w:rPr>
        <w:t>Definiciones</w:t>
      </w:r>
    </w:p>
    <w:p w14:paraId="53CEACB2" w14:textId="77777777" w:rsidR="00870B14" w:rsidRPr="00811EE0" w:rsidRDefault="00870B14" w:rsidP="00DD464D">
      <w:pPr>
        <w:pStyle w:val="Prrafodelista"/>
        <w:numPr>
          <w:ilvl w:val="0"/>
          <w:numId w:val="12"/>
        </w:numPr>
        <w:autoSpaceDE w:val="0"/>
        <w:autoSpaceDN w:val="0"/>
        <w:adjustRightInd w:val="0"/>
        <w:spacing w:before="120" w:after="120" w:line="240" w:lineRule="auto"/>
        <w:ind w:left="425" w:right="-286" w:hanging="426"/>
        <w:contextualSpacing w:val="0"/>
        <w:jc w:val="both"/>
        <w:rPr>
          <w:sz w:val="20"/>
          <w:szCs w:val="20"/>
        </w:rPr>
      </w:pPr>
      <w:r w:rsidRPr="00811EE0">
        <w:rPr>
          <w:sz w:val="20"/>
          <w:szCs w:val="20"/>
        </w:rPr>
        <w:t xml:space="preserve">A efectos de esta norma, los siguientes términos tienen los significados que figuran a continuación: </w:t>
      </w:r>
      <w:r w:rsidRPr="00811EE0">
        <w:rPr>
          <w:i/>
          <w:sz w:val="18"/>
          <w:szCs w:val="20"/>
        </w:rPr>
        <w:t>(NIA805; P6</w:t>
      </w:r>
      <w:r w:rsidR="00C55530" w:rsidRPr="00811EE0">
        <w:rPr>
          <w:i/>
          <w:sz w:val="18"/>
          <w:szCs w:val="20"/>
        </w:rPr>
        <w:t>)</w:t>
      </w:r>
    </w:p>
    <w:p w14:paraId="53CEACB3" w14:textId="77777777" w:rsidR="00870B14" w:rsidRPr="00811EE0" w:rsidRDefault="00870B14" w:rsidP="00E410D8">
      <w:pPr>
        <w:widowControl w:val="0"/>
        <w:numPr>
          <w:ilvl w:val="1"/>
          <w:numId w:val="4"/>
        </w:numPr>
        <w:tabs>
          <w:tab w:val="clear" w:pos="1440"/>
          <w:tab w:val="num" w:pos="1014"/>
        </w:tabs>
        <w:overflowPunct w:val="0"/>
        <w:autoSpaceDE w:val="0"/>
        <w:autoSpaceDN w:val="0"/>
        <w:adjustRightInd w:val="0"/>
        <w:spacing w:before="120" w:after="120" w:line="240" w:lineRule="auto"/>
        <w:ind w:left="1018" w:right="20" w:hanging="370"/>
        <w:jc w:val="both"/>
        <w:rPr>
          <w:rFonts w:cs="Times New Roman"/>
          <w:color w:val="000000"/>
          <w:sz w:val="20"/>
          <w:szCs w:val="20"/>
        </w:rPr>
      </w:pPr>
      <w:r w:rsidRPr="00811EE0">
        <w:rPr>
          <w:rFonts w:cs="Times New Roman"/>
          <w:color w:val="000000"/>
          <w:sz w:val="20"/>
          <w:szCs w:val="20"/>
        </w:rPr>
        <w:t>“Elemento de un estado financiero” o “elemento” significa un elemento, cuenta o partida de un estado financiero</w:t>
      </w:r>
      <w:r w:rsidR="006617A2" w:rsidRPr="00811EE0">
        <w:rPr>
          <w:rFonts w:cs="Times New Roman"/>
          <w:color w:val="000000"/>
          <w:sz w:val="20"/>
          <w:szCs w:val="20"/>
        </w:rPr>
        <w:t xml:space="preserve"> o presupuestario</w:t>
      </w:r>
      <w:r w:rsidRPr="00811EE0">
        <w:rPr>
          <w:rFonts w:cs="Times New Roman"/>
          <w:color w:val="000000"/>
          <w:sz w:val="20"/>
          <w:szCs w:val="20"/>
        </w:rPr>
        <w:t xml:space="preserve">. </w:t>
      </w:r>
    </w:p>
    <w:p w14:paraId="53CEACB4" w14:textId="77777777" w:rsidR="00870B14" w:rsidRPr="00811EE0" w:rsidRDefault="00870B14" w:rsidP="00E410D8">
      <w:pPr>
        <w:widowControl w:val="0"/>
        <w:numPr>
          <w:ilvl w:val="1"/>
          <w:numId w:val="4"/>
        </w:numPr>
        <w:tabs>
          <w:tab w:val="clear" w:pos="1440"/>
          <w:tab w:val="num" w:pos="1014"/>
        </w:tabs>
        <w:overflowPunct w:val="0"/>
        <w:autoSpaceDE w:val="0"/>
        <w:autoSpaceDN w:val="0"/>
        <w:adjustRightInd w:val="0"/>
        <w:spacing w:before="120" w:after="120" w:line="240" w:lineRule="auto"/>
        <w:ind w:left="1018" w:hanging="370"/>
        <w:jc w:val="both"/>
        <w:rPr>
          <w:rFonts w:cs="Times New Roman"/>
          <w:color w:val="000000"/>
          <w:sz w:val="20"/>
          <w:szCs w:val="20"/>
        </w:rPr>
      </w:pPr>
      <w:r w:rsidRPr="00811EE0">
        <w:rPr>
          <w:rFonts w:cs="Times New Roman"/>
          <w:color w:val="000000"/>
          <w:sz w:val="20"/>
          <w:szCs w:val="20"/>
        </w:rPr>
        <w:t xml:space="preserve">Un solo estado financiero o un elemento específico de un estado financiero comprenden las correspondientes notas explicativas. Las notas explicativas, normalmente, incluyen un resumen de las políticas contables significativas y otra información relevante para el estado financiero o para el elemento. </w:t>
      </w:r>
    </w:p>
    <w:p w14:paraId="53CEACB5" w14:textId="77777777" w:rsidR="00870B14" w:rsidRPr="00811EE0" w:rsidRDefault="00870B14" w:rsidP="00E410D8">
      <w:pPr>
        <w:widowControl w:val="0"/>
        <w:numPr>
          <w:ilvl w:val="1"/>
          <w:numId w:val="4"/>
        </w:numPr>
        <w:tabs>
          <w:tab w:val="clear" w:pos="1440"/>
          <w:tab w:val="num" w:pos="1014"/>
        </w:tabs>
        <w:overflowPunct w:val="0"/>
        <w:autoSpaceDE w:val="0"/>
        <w:autoSpaceDN w:val="0"/>
        <w:adjustRightInd w:val="0"/>
        <w:spacing w:before="120" w:after="120" w:line="240" w:lineRule="auto"/>
        <w:ind w:left="1018" w:hanging="370"/>
        <w:jc w:val="both"/>
        <w:rPr>
          <w:rFonts w:cs="Times New Roman"/>
          <w:color w:val="000000"/>
          <w:sz w:val="20"/>
          <w:szCs w:val="20"/>
        </w:rPr>
      </w:pPr>
      <w:r w:rsidRPr="00811EE0">
        <w:rPr>
          <w:rFonts w:cs="Times New Roman"/>
          <w:color w:val="000000"/>
          <w:sz w:val="20"/>
          <w:szCs w:val="20"/>
        </w:rPr>
        <w:lastRenderedPageBreak/>
        <w:t xml:space="preserve">El término “estados financieros” se refiere a una “presentación estructurada de información financiera histórica, que incluye notas explicativas, cuya finalidad es la de informar sobre los recursos económicos y las obligaciones de una entidad en un momento determinado o sobre los cambios registrados en ellos en un periodo de tiempo, de conformidad con un marco de información financiera aplicable. El término normalmente se refiere a un conjunto completo de estados financieros establecido por los requerimientos del marco de información financiera aplicable. </w:t>
      </w:r>
      <w:r w:rsidRPr="00811EE0">
        <w:rPr>
          <w:rFonts w:cs="Times New Roman"/>
          <w:i/>
          <w:color w:val="000000"/>
          <w:sz w:val="20"/>
          <w:szCs w:val="20"/>
        </w:rPr>
        <w:t>(NIA805; A2).</w:t>
      </w:r>
    </w:p>
    <w:p w14:paraId="53CEACB6" w14:textId="77777777" w:rsidR="006617A2" w:rsidRPr="00811EE0" w:rsidRDefault="006617A2" w:rsidP="006617A2">
      <w:pPr>
        <w:widowControl w:val="0"/>
        <w:overflowPunct w:val="0"/>
        <w:autoSpaceDE w:val="0"/>
        <w:autoSpaceDN w:val="0"/>
        <w:adjustRightInd w:val="0"/>
        <w:spacing w:before="120" w:after="120" w:line="240" w:lineRule="auto"/>
        <w:ind w:left="1018"/>
        <w:jc w:val="both"/>
        <w:rPr>
          <w:rFonts w:cs="Times New Roman"/>
          <w:color w:val="000000"/>
          <w:sz w:val="20"/>
          <w:szCs w:val="20"/>
        </w:rPr>
      </w:pPr>
      <w:r w:rsidRPr="00811EE0">
        <w:rPr>
          <w:rFonts w:cs="Times New Roman"/>
          <w:color w:val="000000"/>
          <w:sz w:val="20"/>
          <w:szCs w:val="20"/>
        </w:rPr>
        <w:t xml:space="preserve">Los estados financieros o cuentas anuales en una entidad pública están formados, de acuerdo con el PGCP, por: </w:t>
      </w:r>
    </w:p>
    <w:p w14:paraId="53CEACB7" w14:textId="77777777" w:rsidR="006617A2" w:rsidRPr="00811EE0" w:rsidRDefault="006617A2" w:rsidP="006617A2">
      <w:pPr>
        <w:pStyle w:val="Prrafodelista"/>
        <w:widowControl w:val="0"/>
        <w:numPr>
          <w:ilvl w:val="0"/>
          <w:numId w:val="23"/>
        </w:numPr>
        <w:overflowPunct w:val="0"/>
        <w:autoSpaceDE w:val="0"/>
        <w:autoSpaceDN w:val="0"/>
        <w:adjustRightInd w:val="0"/>
        <w:spacing w:before="120" w:after="120" w:line="240" w:lineRule="auto"/>
        <w:ind w:left="1843"/>
        <w:jc w:val="both"/>
        <w:rPr>
          <w:rFonts w:cs="Times New Roman"/>
          <w:color w:val="000000"/>
          <w:sz w:val="20"/>
          <w:szCs w:val="20"/>
        </w:rPr>
      </w:pPr>
      <w:r w:rsidRPr="00811EE0">
        <w:rPr>
          <w:rFonts w:cs="Times New Roman"/>
          <w:color w:val="000000"/>
          <w:sz w:val="20"/>
          <w:szCs w:val="20"/>
        </w:rPr>
        <w:t xml:space="preserve">el balance </w:t>
      </w:r>
    </w:p>
    <w:p w14:paraId="53CEACB8" w14:textId="77777777" w:rsidR="006617A2" w:rsidRPr="00811EE0" w:rsidRDefault="006617A2" w:rsidP="006617A2">
      <w:pPr>
        <w:pStyle w:val="Prrafodelista"/>
        <w:widowControl w:val="0"/>
        <w:numPr>
          <w:ilvl w:val="0"/>
          <w:numId w:val="23"/>
        </w:numPr>
        <w:overflowPunct w:val="0"/>
        <w:autoSpaceDE w:val="0"/>
        <w:autoSpaceDN w:val="0"/>
        <w:adjustRightInd w:val="0"/>
        <w:spacing w:before="120" w:after="120" w:line="240" w:lineRule="auto"/>
        <w:ind w:left="1843"/>
        <w:jc w:val="both"/>
        <w:rPr>
          <w:rFonts w:cs="Times New Roman"/>
          <w:color w:val="000000"/>
          <w:sz w:val="20"/>
          <w:szCs w:val="20"/>
        </w:rPr>
      </w:pPr>
      <w:r w:rsidRPr="00811EE0">
        <w:rPr>
          <w:rFonts w:cs="Times New Roman"/>
          <w:color w:val="000000"/>
          <w:sz w:val="20"/>
          <w:szCs w:val="20"/>
        </w:rPr>
        <w:t xml:space="preserve">la cuenta del resultado económico-patrimonial, </w:t>
      </w:r>
    </w:p>
    <w:p w14:paraId="53CEACB9" w14:textId="77777777" w:rsidR="006617A2" w:rsidRPr="00811EE0" w:rsidRDefault="006617A2" w:rsidP="006617A2">
      <w:pPr>
        <w:pStyle w:val="Prrafodelista"/>
        <w:widowControl w:val="0"/>
        <w:numPr>
          <w:ilvl w:val="0"/>
          <w:numId w:val="23"/>
        </w:numPr>
        <w:overflowPunct w:val="0"/>
        <w:autoSpaceDE w:val="0"/>
        <w:autoSpaceDN w:val="0"/>
        <w:adjustRightInd w:val="0"/>
        <w:spacing w:before="120" w:after="120" w:line="240" w:lineRule="auto"/>
        <w:ind w:left="1843"/>
        <w:jc w:val="both"/>
        <w:rPr>
          <w:rFonts w:cs="Times New Roman"/>
          <w:color w:val="000000"/>
          <w:sz w:val="20"/>
          <w:szCs w:val="20"/>
        </w:rPr>
      </w:pPr>
      <w:r w:rsidRPr="00811EE0">
        <w:rPr>
          <w:rFonts w:cs="Times New Roman"/>
          <w:color w:val="000000"/>
          <w:sz w:val="20"/>
          <w:szCs w:val="20"/>
        </w:rPr>
        <w:t xml:space="preserve">el estado de cambios en el patrimonio neto, </w:t>
      </w:r>
    </w:p>
    <w:p w14:paraId="53CEACBA" w14:textId="77777777" w:rsidR="006617A2" w:rsidRPr="00811EE0" w:rsidRDefault="006617A2" w:rsidP="006617A2">
      <w:pPr>
        <w:pStyle w:val="Prrafodelista"/>
        <w:widowControl w:val="0"/>
        <w:numPr>
          <w:ilvl w:val="0"/>
          <w:numId w:val="23"/>
        </w:numPr>
        <w:overflowPunct w:val="0"/>
        <w:autoSpaceDE w:val="0"/>
        <w:autoSpaceDN w:val="0"/>
        <w:adjustRightInd w:val="0"/>
        <w:spacing w:before="120" w:after="120" w:line="240" w:lineRule="auto"/>
        <w:ind w:left="1843"/>
        <w:jc w:val="both"/>
        <w:rPr>
          <w:rFonts w:cs="Times New Roman"/>
          <w:color w:val="000000"/>
          <w:sz w:val="20"/>
          <w:szCs w:val="20"/>
        </w:rPr>
      </w:pPr>
      <w:r w:rsidRPr="00811EE0">
        <w:rPr>
          <w:rFonts w:cs="Times New Roman"/>
          <w:color w:val="000000"/>
          <w:sz w:val="20"/>
          <w:szCs w:val="20"/>
        </w:rPr>
        <w:t xml:space="preserve">el estado de flujos de efectivo, </w:t>
      </w:r>
    </w:p>
    <w:p w14:paraId="53CEACBB" w14:textId="77777777" w:rsidR="006617A2" w:rsidRPr="00811EE0" w:rsidRDefault="006617A2" w:rsidP="006617A2">
      <w:pPr>
        <w:pStyle w:val="Prrafodelista"/>
        <w:widowControl w:val="0"/>
        <w:numPr>
          <w:ilvl w:val="0"/>
          <w:numId w:val="23"/>
        </w:numPr>
        <w:overflowPunct w:val="0"/>
        <w:autoSpaceDE w:val="0"/>
        <w:autoSpaceDN w:val="0"/>
        <w:adjustRightInd w:val="0"/>
        <w:spacing w:before="120" w:after="120" w:line="240" w:lineRule="auto"/>
        <w:ind w:left="1843"/>
        <w:jc w:val="both"/>
        <w:rPr>
          <w:rFonts w:cs="Times New Roman"/>
          <w:color w:val="000000"/>
          <w:sz w:val="20"/>
          <w:szCs w:val="20"/>
        </w:rPr>
      </w:pPr>
      <w:r w:rsidRPr="00811EE0">
        <w:rPr>
          <w:rFonts w:cs="Times New Roman"/>
          <w:color w:val="000000"/>
          <w:sz w:val="20"/>
          <w:szCs w:val="20"/>
        </w:rPr>
        <w:t xml:space="preserve">el estado de liquidación del presupuesto y </w:t>
      </w:r>
    </w:p>
    <w:p w14:paraId="53CEACBC" w14:textId="77777777" w:rsidR="006617A2" w:rsidRPr="00811EE0" w:rsidRDefault="006617A2" w:rsidP="006617A2">
      <w:pPr>
        <w:pStyle w:val="Prrafodelista"/>
        <w:widowControl w:val="0"/>
        <w:numPr>
          <w:ilvl w:val="0"/>
          <w:numId w:val="23"/>
        </w:numPr>
        <w:overflowPunct w:val="0"/>
        <w:autoSpaceDE w:val="0"/>
        <w:autoSpaceDN w:val="0"/>
        <w:adjustRightInd w:val="0"/>
        <w:spacing w:before="120" w:after="120" w:line="240" w:lineRule="auto"/>
        <w:ind w:left="1843"/>
        <w:jc w:val="both"/>
        <w:rPr>
          <w:rFonts w:cs="Times New Roman"/>
          <w:color w:val="000000"/>
          <w:sz w:val="20"/>
          <w:szCs w:val="20"/>
        </w:rPr>
      </w:pPr>
      <w:r w:rsidRPr="00811EE0">
        <w:rPr>
          <w:rFonts w:cs="Times New Roman"/>
          <w:color w:val="000000"/>
          <w:sz w:val="20"/>
          <w:szCs w:val="20"/>
        </w:rPr>
        <w:t>la memoria</w:t>
      </w:r>
    </w:p>
    <w:p w14:paraId="53CEACBD" w14:textId="77777777" w:rsidR="00870B14" w:rsidRPr="00811EE0" w:rsidRDefault="00870B14" w:rsidP="00E410D8">
      <w:pPr>
        <w:widowControl w:val="0"/>
        <w:numPr>
          <w:ilvl w:val="1"/>
          <w:numId w:val="4"/>
        </w:numPr>
        <w:tabs>
          <w:tab w:val="clear" w:pos="1440"/>
        </w:tabs>
        <w:overflowPunct w:val="0"/>
        <w:autoSpaceDE w:val="0"/>
        <w:autoSpaceDN w:val="0"/>
        <w:adjustRightInd w:val="0"/>
        <w:spacing w:before="120" w:after="120" w:line="240" w:lineRule="auto"/>
        <w:ind w:left="993"/>
        <w:jc w:val="both"/>
        <w:rPr>
          <w:rFonts w:cs="Times New Roman"/>
          <w:color w:val="000000"/>
          <w:sz w:val="20"/>
          <w:szCs w:val="20"/>
        </w:rPr>
      </w:pPr>
      <w:r w:rsidRPr="00811EE0">
        <w:rPr>
          <w:rFonts w:cs="Times New Roman"/>
          <w:color w:val="000000"/>
          <w:sz w:val="20"/>
          <w:szCs w:val="20"/>
        </w:rPr>
        <w:t>El término “información financiera histórica” se refiere a información relativa a una entidad determinada, expresada en términos financieros y obtenida principalmente del sistema contable de la entidad, acerca de hechos económicos ocurridos en periodos de tiempo anteriores o de condiciones o circunstancias económicas de fechas anteriores. (NIA805; A1).</w:t>
      </w:r>
    </w:p>
    <w:p w14:paraId="53CEACBE" w14:textId="77777777" w:rsidR="00870B14" w:rsidRPr="00811EE0" w:rsidRDefault="00001F3D" w:rsidP="00001F3D">
      <w:pPr>
        <w:widowControl w:val="0"/>
        <w:tabs>
          <w:tab w:val="left" w:pos="426"/>
        </w:tabs>
        <w:autoSpaceDE w:val="0"/>
        <w:autoSpaceDN w:val="0"/>
        <w:adjustRightInd w:val="0"/>
        <w:spacing w:before="240" w:after="120" w:line="240" w:lineRule="auto"/>
        <w:rPr>
          <w:rFonts w:cs="Times New Roman"/>
          <w:b/>
          <w:bCs/>
          <w:color w:val="000000"/>
          <w:sz w:val="20"/>
          <w:szCs w:val="20"/>
        </w:rPr>
      </w:pPr>
      <w:r w:rsidRPr="00811EE0">
        <w:rPr>
          <w:rFonts w:cs="Times New Roman"/>
          <w:b/>
          <w:bCs/>
          <w:color w:val="000000"/>
          <w:sz w:val="20"/>
          <w:szCs w:val="20"/>
        </w:rPr>
        <w:t>IV</w:t>
      </w:r>
      <w:r w:rsidRPr="00811EE0">
        <w:rPr>
          <w:rFonts w:cs="Times New Roman"/>
          <w:b/>
          <w:bCs/>
          <w:color w:val="000000"/>
          <w:sz w:val="20"/>
          <w:szCs w:val="20"/>
        </w:rPr>
        <w:tab/>
      </w:r>
      <w:r w:rsidR="00870B14" w:rsidRPr="00811EE0">
        <w:rPr>
          <w:rFonts w:cs="Times New Roman"/>
          <w:b/>
          <w:bCs/>
          <w:color w:val="000000"/>
          <w:sz w:val="20"/>
          <w:szCs w:val="20"/>
        </w:rPr>
        <w:t>Consideraciones para la aceptación del encargo</w:t>
      </w:r>
    </w:p>
    <w:p w14:paraId="53CEACBF" w14:textId="77777777" w:rsidR="001400E2" w:rsidRPr="00811EE0" w:rsidRDefault="00FD0E8E" w:rsidP="00050F46">
      <w:pPr>
        <w:pStyle w:val="Prrafodelista"/>
        <w:numPr>
          <w:ilvl w:val="0"/>
          <w:numId w:val="12"/>
        </w:numPr>
        <w:spacing w:before="120" w:after="120" w:line="240" w:lineRule="auto"/>
        <w:ind w:left="425" w:hanging="426"/>
        <w:contextualSpacing w:val="0"/>
        <w:jc w:val="both"/>
        <w:rPr>
          <w:rFonts w:eastAsia="Arial" w:cs="Arial"/>
          <w:spacing w:val="2"/>
          <w:sz w:val="20"/>
          <w:szCs w:val="20"/>
        </w:rPr>
      </w:pPr>
      <w:r w:rsidRPr="00811EE0">
        <w:rPr>
          <w:rFonts w:eastAsia="Arial" w:cs="Arial"/>
          <w:spacing w:val="2"/>
          <w:sz w:val="20"/>
          <w:szCs w:val="20"/>
        </w:rPr>
        <w:t xml:space="preserve">En el caso de la auditoría de un solo estado financiero o de un elemento, cuenta o partida específicos de un estado financiero, el auditor debe determinar primero si la auditoría es factible. </w:t>
      </w:r>
    </w:p>
    <w:p w14:paraId="53CEACC0" w14:textId="77777777" w:rsidR="001400E2" w:rsidRPr="00811EE0" w:rsidRDefault="00FD0E8E" w:rsidP="00050F46">
      <w:pPr>
        <w:pStyle w:val="Prrafodelista"/>
        <w:spacing w:before="120" w:after="120" w:line="240" w:lineRule="auto"/>
        <w:ind w:left="425"/>
        <w:contextualSpacing w:val="0"/>
        <w:jc w:val="both"/>
        <w:rPr>
          <w:rFonts w:eastAsia="Arial" w:cs="Arial"/>
          <w:spacing w:val="2"/>
          <w:sz w:val="20"/>
          <w:szCs w:val="20"/>
        </w:rPr>
      </w:pPr>
      <w:r w:rsidRPr="00811EE0">
        <w:rPr>
          <w:rFonts w:eastAsia="Arial" w:cs="Arial"/>
          <w:spacing w:val="2"/>
          <w:sz w:val="20"/>
          <w:szCs w:val="20"/>
        </w:rPr>
        <w:t xml:space="preserve">Los principios fundamentales son aplicables a auditorías de un solo estado financiero o de un elemento, cuenta o partida específicos de un estado financiero, sin importar que el auditor también deba auditar el conjunto completo de estados financieros de la entidad. </w:t>
      </w:r>
    </w:p>
    <w:p w14:paraId="53CEACC1" w14:textId="77777777" w:rsidR="00FD0E8E" w:rsidRPr="00811EE0" w:rsidRDefault="00FD0E8E" w:rsidP="001400E2">
      <w:pPr>
        <w:pStyle w:val="Prrafodelista"/>
        <w:spacing w:before="120" w:after="120" w:line="240" w:lineRule="auto"/>
        <w:ind w:left="426"/>
        <w:contextualSpacing w:val="0"/>
        <w:jc w:val="both"/>
        <w:rPr>
          <w:rFonts w:eastAsia="Arial" w:cs="Arial"/>
          <w:spacing w:val="2"/>
          <w:sz w:val="20"/>
          <w:szCs w:val="20"/>
        </w:rPr>
      </w:pPr>
      <w:r w:rsidRPr="00811EE0">
        <w:rPr>
          <w:rFonts w:eastAsia="Arial" w:cs="Arial"/>
          <w:spacing w:val="2"/>
          <w:sz w:val="20"/>
          <w:szCs w:val="20"/>
        </w:rPr>
        <w:t xml:space="preserve">Si el auditor no audita el conjunto completo de estados financieros, entonces deberá determinar si la auditoría de un solo estado financiero o de un elemento, cuenta o partida específicos de un estado financiero es conforme con los principios fundamentales establecidos en las ISSAIS-ES. </w:t>
      </w:r>
      <w:r w:rsidRPr="00811EE0">
        <w:rPr>
          <w:rFonts w:eastAsia="Arial" w:cs="Arial"/>
          <w:i/>
          <w:spacing w:val="2"/>
          <w:sz w:val="18"/>
          <w:szCs w:val="20"/>
        </w:rPr>
        <w:t xml:space="preserve">(ISSAI-ES 200; P165) </w:t>
      </w:r>
      <w:r w:rsidRPr="00811EE0">
        <w:rPr>
          <w:rFonts w:cs="Times New Roman"/>
          <w:i/>
          <w:color w:val="000000"/>
          <w:sz w:val="16"/>
          <w:szCs w:val="20"/>
        </w:rPr>
        <w:t>(NIA805; P7)</w:t>
      </w:r>
      <w:r w:rsidRPr="00811EE0">
        <w:rPr>
          <w:rFonts w:cs="Times New Roman"/>
          <w:color w:val="000000"/>
          <w:sz w:val="20"/>
          <w:szCs w:val="20"/>
        </w:rPr>
        <w:t>.</w:t>
      </w:r>
    </w:p>
    <w:p w14:paraId="53CEACC2" w14:textId="77777777" w:rsidR="00FD0E8E" w:rsidRPr="00811EE0" w:rsidRDefault="00FD0E8E" w:rsidP="001400E2">
      <w:pPr>
        <w:pStyle w:val="Prrafodelista"/>
        <w:numPr>
          <w:ilvl w:val="0"/>
          <w:numId w:val="12"/>
        </w:numPr>
        <w:spacing w:before="120" w:after="120" w:line="240" w:lineRule="auto"/>
        <w:ind w:left="426" w:hanging="426"/>
        <w:contextualSpacing w:val="0"/>
        <w:jc w:val="both"/>
        <w:rPr>
          <w:rFonts w:eastAsia="Arial" w:cs="Arial"/>
          <w:spacing w:val="2"/>
          <w:sz w:val="20"/>
          <w:szCs w:val="20"/>
        </w:rPr>
      </w:pPr>
      <w:r w:rsidRPr="00811EE0">
        <w:rPr>
          <w:rFonts w:eastAsia="Arial" w:cs="Arial"/>
          <w:spacing w:val="2"/>
          <w:sz w:val="20"/>
          <w:szCs w:val="20"/>
        </w:rPr>
        <w:t xml:space="preserve">El auditor también debe determinar si la aplicación del marco de información financiera dará como resultado una presentación que proporcione una exposición adecuada de la información que permita, a los usuarios a quienes se destina el informe, entender la información que proporciona el estado financiero o el elemento </w:t>
      </w:r>
      <w:proofErr w:type="gramStart"/>
      <w:r w:rsidRPr="00811EE0">
        <w:rPr>
          <w:rFonts w:eastAsia="Arial" w:cs="Arial"/>
          <w:spacing w:val="2"/>
          <w:sz w:val="20"/>
          <w:szCs w:val="20"/>
        </w:rPr>
        <w:t>del mismo</w:t>
      </w:r>
      <w:proofErr w:type="gramEnd"/>
      <w:r w:rsidRPr="00811EE0">
        <w:rPr>
          <w:rFonts w:eastAsia="Arial" w:cs="Arial"/>
          <w:spacing w:val="2"/>
          <w:sz w:val="20"/>
          <w:szCs w:val="20"/>
        </w:rPr>
        <w:t xml:space="preserve">, así como el efecto de las transacciones y de los hechos materiales sobre dicha información. </w:t>
      </w:r>
      <w:r w:rsidRPr="00811EE0">
        <w:rPr>
          <w:rFonts w:eastAsia="Arial" w:cs="Arial"/>
          <w:i/>
          <w:spacing w:val="2"/>
          <w:sz w:val="18"/>
          <w:szCs w:val="20"/>
        </w:rPr>
        <w:t>(ISSAI-ES 200; P166) (NIA805; P8).</w:t>
      </w:r>
    </w:p>
    <w:p w14:paraId="53CEACC3" w14:textId="77777777" w:rsidR="001400E2" w:rsidRPr="00811EE0" w:rsidRDefault="00870B14" w:rsidP="001400E2">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Las ISSAI-ES requieren que el auditor cumpla</w:t>
      </w:r>
      <w:r w:rsidR="001400E2" w:rsidRPr="00811EE0">
        <w:rPr>
          <w:sz w:val="20"/>
          <w:szCs w:val="20"/>
        </w:rPr>
        <w:t>:</w:t>
      </w:r>
    </w:p>
    <w:p w14:paraId="53CEACC4" w14:textId="77777777" w:rsidR="001400E2" w:rsidRPr="00811EE0" w:rsidRDefault="00870B14" w:rsidP="004F4518">
      <w:pPr>
        <w:widowControl w:val="0"/>
        <w:numPr>
          <w:ilvl w:val="0"/>
          <w:numId w:val="13"/>
        </w:numPr>
        <w:tabs>
          <w:tab w:val="clear" w:pos="1440"/>
        </w:tabs>
        <w:overflowPunct w:val="0"/>
        <w:autoSpaceDE w:val="0"/>
        <w:autoSpaceDN w:val="0"/>
        <w:adjustRightInd w:val="0"/>
        <w:spacing w:before="120" w:after="120" w:line="240" w:lineRule="auto"/>
        <w:ind w:left="851"/>
        <w:jc w:val="both"/>
        <w:rPr>
          <w:rFonts w:cs="Times New Roman"/>
          <w:color w:val="000000"/>
          <w:sz w:val="20"/>
          <w:szCs w:val="20"/>
        </w:rPr>
      </w:pPr>
      <w:r w:rsidRPr="00811EE0">
        <w:rPr>
          <w:rFonts w:cs="Times New Roman"/>
          <w:color w:val="000000"/>
          <w:sz w:val="20"/>
          <w:szCs w:val="20"/>
        </w:rPr>
        <w:t xml:space="preserve">los requerimientos de ética aplicables, incluidos los relativos a la independencia, en relación con los encargos de auditoría de estados financieros y </w:t>
      </w:r>
    </w:p>
    <w:p w14:paraId="53CEACC5" w14:textId="6E2FF06C" w:rsidR="00870B14" w:rsidRPr="00811EE0" w:rsidRDefault="00870B14" w:rsidP="004F4518">
      <w:pPr>
        <w:widowControl w:val="0"/>
        <w:numPr>
          <w:ilvl w:val="0"/>
          <w:numId w:val="13"/>
        </w:numPr>
        <w:tabs>
          <w:tab w:val="clear" w:pos="1440"/>
        </w:tabs>
        <w:overflowPunct w:val="0"/>
        <w:autoSpaceDE w:val="0"/>
        <w:autoSpaceDN w:val="0"/>
        <w:adjustRightInd w:val="0"/>
        <w:spacing w:before="120" w:after="120" w:line="240" w:lineRule="auto"/>
        <w:ind w:left="851"/>
        <w:jc w:val="both"/>
        <w:rPr>
          <w:rFonts w:cs="Times New Roman"/>
          <w:color w:val="000000"/>
          <w:sz w:val="20"/>
          <w:szCs w:val="20"/>
        </w:rPr>
      </w:pPr>
      <w:r w:rsidRPr="00811EE0">
        <w:rPr>
          <w:rFonts w:cs="Times New Roman"/>
          <w:color w:val="000000"/>
          <w:sz w:val="20"/>
          <w:szCs w:val="20"/>
        </w:rPr>
        <w:t xml:space="preserve">todas las </w:t>
      </w:r>
      <w:r w:rsidR="00C55530" w:rsidRPr="00811EE0">
        <w:rPr>
          <w:rFonts w:cs="Times New Roman"/>
          <w:color w:val="000000"/>
          <w:sz w:val="20"/>
          <w:szCs w:val="20"/>
        </w:rPr>
        <w:t>ISSAI-ES/NIA-ES</w:t>
      </w:r>
      <w:r w:rsidR="006437E4" w:rsidRPr="00811EE0">
        <w:rPr>
          <w:rFonts w:cs="Times New Roman"/>
          <w:color w:val="000000"/>
          <w:sz w:val="20"/>
          <w:szCs w:val="20"/>
        </w:rPr>
        <w:t>-SP</w:t>
      </w:r>
      <w:r w:rsidRPr="00811EE0">
        <w:rPr>
          <w:rFonts w:cs="Times New Roman"/>
          <w:color w:val="000000"/>
          <w:sz w:val="20"/>
          <w:szCs w:val="20"/>
        </w:rPr>
        <w:t xml:space="preserve"> aplicables a la auditoría</w:t>
      </w:r>
      <w:r w:rsidR="001400E2" w:rsidRPr="00811EE0">
        <w:rPr>
          <w:rFonts w:cs="Times New Roman"/>
          <w:color w:val="000000"/>
          <w:sz w:val="20"/>
          <w:szCs w:val="20"/>
        </w:rPr>
        <w:t xml:space="preserve">, salvo que, en las circunstancias de la auditoría, no sea aplicable la totalidad de alguna de ellas o el requerimiento no sea aplicable porque incluya una condición y ésta no concurra. En circunstancias excepcionales, el auditor puede considerar necesario no cumplir un requerimiento aplicable de una </w:t>
      </w:r>
      <w:r w:rsidR="001400E2" w:rsidRPr="00811EE0">
        <w:rPr>
          <w:rFonts w:cs="Times New Roman"/>
          <w:sz w:val="20"/>
          <w:szCs w:val="20"/>
        </w:rPr>
        <w:t>ISSAI-ES/NIA-ES</w:t>
      </w:r>
      <w:r w:rsidR="006437E4" w:rsidRPr="00811EE0">
        <w:rPr>
          <w:rFonts w:cs="Times New Roman"/>
          <w:sz w:val="20"/>
          <w:szCs w:val="20"/>
        </w:rPr>
        <w:t>-SP</w:t>
      </w:r>
      <w:r w:rsidR="001400E2" w:rsidRPr="00811EE0">
        <w:rPr>
          <w:rFonts w:cs="Times New Roman"/>
          <w:sz w:val="20"/>
          <w:szCs w:val="20"/>
        </w:rPr>
        <w:t xml:space="preserve"> </w:t>
      </w:r>
      <w:r w:rsidR="001400E2" w:rsidRPr="00811EE0">
        <w:rPr>
          <w:rFonts w:cs="Times New Roman"/>
          <w:color w:val="000000"/>
          <w:sz w:val="20"/>
          <w:szCs w:val="20"/>
        </w:rPr>
        <w:t xml:space="preserve">mediante la aplicación de procedimientos de auditoría alternativos para alcanzar el objetivo de dicho requerimiento. </w:t>
      </w:r>
      <w:r w:rsidR="001400E2" w:rsidRPr="00811EE0">
        <w:rPr>
          <w:rFonts w:cs="Times New Roman"/>
          <w:i/>
          <w:color w:val="000000"/>
          <w:sz w:val="18"/>
          <w:szCs w:val="20"/>
        </w:rPr>
        <w:t>(NIA805; A5)</w:t>
      </w:r>
    </w:p>
    <w:p w14:paraId="53CEACC6" w14:textId="6A956AAA" w:rsidR="00870B14" w:rsidRPr="00811EE0" w:rsidRDefault="00870B14" w:rsidP="001400E2">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El cumplimiento de los requerimientos de las </w:t>
      </w:r>
      <w:r w:rsidR="00C55530" w:rsidRPr="00811EE0">
        <w:rPr>
          <w:sz w:val="20"/>
          <w:szCs w:val="20"/>
        </w:rPr>
        <w:t>ISSAI-ES/</w:t>
      </w:r>
      <w:r w:rsidR="006437E4" w:rsidRPr="00811EE0">
        <w:rPr>
          <w:rFonts w:cs="Times New Roman"/>
          <w:sz w:val="20"/>
          <w:szCs w:val="20"/>
        </w:rPr>
        <w:t xml:space="preserve"> NIA-ES-SP</w:t>
      </w:r>
      <w:r w:rsidR="006437E4" w:rsidRPr="00811EE0">
        <w:rPr>
          <w:sz w:val="20"/>
          <w:szCs w:val="20"/>
        </w:rPr>
        <w:t xml:space="preserve"> </w:t>
      </w:r>
      <w:r w:rsidRPr="00811EE0">
        <w:rPr>
          <w:sz w:val="20"/>
          <w:szCs w:val="20"/>
        </w:rPr>
        <w:t xml:space="preserve">aplicables a la auditoría de un solo estado financiero o de un elemento específico de un estado financiero puede no ser factible cuando el auditor no tenga el encargo de auditar el conjunto completo de los estados financieros de la entidad. </w:t>
      </w:r>
    </w:p>
    <w:p w14:paraId="53CEACC7" w14:textId="77777777" w:rsidR="00870B14" w:rsidRPr="00811EE0" w:rsidRDefault="00870B14" w:rsidP="001400E2">
      <w:pPr>
        <w:widowControl w:val="0"/>
        <w:overflowPunct w:val="0"/>
        <w:autoSpaceDE w:val="0"/>
        <w:autoSpaceDN w:val="0"/>
        <w:adjustRightInd w:val="0"/>
        <w:spacing w:before="120" w:after="120" w:line="240" w:lineRule="auto"/>
        <w:ind w:left="426"/>
        <w:jc w:val="both"/>
        <w:rPr>
          <w:rFonts w:cs="Times New Roman"/>
          <w:sz w:val="20"/>
          <w:szCs w:val="20"/>
        </w:rPr>
      </w:pPr>
      <w:r w:rsidRPr="00811EE0">
        <w:rPr>
          <w:rFonts w:cs="Times New Roman"/>
          <w:sz w:val="20"/>
          <w:szCs w:val="20"/>
        </w:rPr>
        <w:t xml:space="preserve">En estos casos, a menudo, el auditor no tiene el mismo conocimiento de la entidad y de su entorno, incluido su control interno, que tiene un auditor que también audita el conjunto completo de los estados financieros </w:t>
      </w:r>
      <w:r w:rsidRPr="00811EE0">
        <w:rPr>
          <w:rFonts w:cs="Times New Roman"/>
          <w:sz w:val="20"/>
          <w:szCs w:val="20"/>
        </w:rPr>
        <w:lastRenderedPageBreak/>
        <w:t xml:space="preserve">de la entidad. El auditor tampoco tiene la evidencia de auditoría sobre la calidad general de los </w:t>
      </w:r>
      <w:proofErr w:type="gramStart"/>
      <w:r w:rsidRPr="00811EE0">
        <w:rPr>
          <w:rFonts w:cs="Times New Roman"/>
          <w:sz w:val="20"/>
          <w:szCs w:val="20"/>
        </w:rPr>
        <w:t>registros contables u otra información contable</w:t>
      </w:r>
      <w:proofErr w:type="gramEnd"/>
      <w:r w:rsidRPr="00811EE0">
        <w:rPr>
          <w:rFonts w:cs="Times New Roman"/>
          <w:sz w:val="20"/>
          <w:szCs w:val="20"/>
        </w:rPr>
        <w:t xml:space="preserve"> que se consigue en una auditoría del conjunto completo de los estados financieros de la entidad. En consecuencia, el auditor puede necesitar evidencia adicional para corroborar la evidencia de auditoría obtenida de los registros contables. </w:t>
      </w:r>
    </w:p>
    <w:p w14:paraId="53CEACC8" w14:textId="64CA918A" w:rsidR="00870B14" w:rsidRPr="00811EE0" w:rsidRDefault="00870B14" w:rsidP="001400E2">
      <w:pPr>
        <w:widowControl w:val="0"/>
        <w:overflowPunct w:val="0"/>
        <w:autoSpaceDE w:val="0"/>
        <w:autoSpaceDN w:val="0"/>
        <w:adjustRightInd w:val="0"/>
        <w:spacing w:before="120" w:after="120" w:line="240" w:lineRule="auto"/>
        <w:ind w:left="426"/>
        <w:jc w:val="both"/>
        <w:rPr>
          <w:rFonts w:cs="Times New Roman"/>
          <w:sz w:val="20"/>
          <w:szCs w:val="20"/>
        </w:rPr>
      </w:pPr>
      <w:r w:rsidRPr="00811EE0">
        <w:rPr>
          <w:rFonts w:cs="Times New Roman"/>
          <w:sz w:val="20"/>
          <w:szCs w:val="20"/>
        </w:rPr>
        <w:t xml:space="preserve">En el caso de una auditoría de un elemento específico de un estado financiero, algunas </w:t>
      </w:r>
      <w:r w:rsidR="006437E4" w:rsidRPr="00811EE0">
        <w:rPr>
          <w:rFonts w:cs="Times New Roman"/>
          <w:sz w:val="20"/>
          <w:szCs w:val="20"/>
        </w:rPr>
        <w:t xml:space="preserve">NIA-ES-SP </w:t>
      </w:r>
      <w:r w:rsidRPr="00811EE0">
        <w:rPr>
          <w:rFonts w:cs="Times New Roman"/>
          <w:sz w:val="20"/>
          <w:szCs w:val="20"/>
        </w:rPr>
        <w:t xml:space="preserve">requieren un trabajo de auditoría que puede resultar desproporcionado con respecto al elemento que se audita. Por ejemplo, aunque, posiblemente, los requerimientos de la </w:t>
      </w:r>
      <w:r w:rsidR="006437E4" w:rsidRPr="00811EE0">
        <w:rPr>
          <w:rFonts w:cs="Times New Roman"/>
          <w:sz w:val="20"/>
          <w:szCs w:val="20"/>
        </w:rPr>
        <w:t>NIA-ES-SP 1</w:t>
      </w:r>
      <w:r w:rsidRPr="00811EE0">
        <w:rPr>
          <w:rFonts w:cs="Times New Roman"/>
          <w:sz w:val="20"/>
          <w:szCs w:val="20"/>
        </w:rPr>
        <w:t xml:space="preserve">570 sean aplicables a las circunstancias de la auditoría de un documento contable de cuentas a cobrar, puede no ser factible el cumplimiento de dichos requerimientos debido al esfuerzo de auditoría que se requiere. </w:t>
      </w:r>
    </w:p>
    <w:p w14:paraId="53CEACC9" w14:textId="3AFEFF10" w:rsidR="00870B14" w:rsidRPr="00811EE0" w:rsidRDefault="00870B14" w:rsidP="001400E2">
      <w:pPr>
        <w:widowControl w:val="0"/>
        <w:overflowPunct w:val="0"/>
        <w:autoSpaceDE w:val="0"/>
        <w:autoSpaceDN w:val="0"/>
        <w:adjustRightInd w:val="0"/>
        <w:spacing w:before="120" w:after="120" w:line="240" w:lineRule="auto"/>
        <w:ind w:left="426"/>
        <w:jc w:val="both"/>
        <w:rPr>
          <w:rFonts w:cs="Times New Roman"/>
          <w:sz w:val="20"/>
          <w:szCs w:val="20"/>
        </w:rPr>
      </w:pPr>
      <w:r w:rsidRPr="00811EE0">
        <w:rPr>
          <w:rFonts w:cs="Times New Roman"/>
          <w:sz w:val="20"/>
          <w:szCs w:val="20"/>
        </w:rPr>
        <w:t xml:space="preserve">Si el auditor concluye que es posible que no sea factible la auditoría de un solo estado financiero o de un elemento, </w:t>
      </w:r>
      <w:r w:rsidR="00FC17F5" w:rsidRPr="00811EE0">
        <w:rPr>
          <w:rFonts w:cs="Times New Roman"/>
          <w:sz w:val="20"/>
          <w:szCs w:val="20"/>
        </w:rPr>
        <w:t>aplicando todas las ISSAI-ES/</w:t>
      </w:r>
      <w:r w:rsidR="006437E4" w:rsidRPr="00811EE0">
        <w:rPr>
          <w:rFonts w:cs="Times New Roman"/>
          <w:sz w:val="20"/>
          <w:szCs w:val="20"/>
        </w:rPr>
        <w:t xml:space="preserve"> NIA-ES-SP </w:t>
      </w:r>
      <w:r w:rsidR="00FC17F5" w:rsidRPr="00811EE0">
        <w:rPr>
          <w:rFonts w:cs="Times New Roman"/>
          <w:sz w:val="20"/>
          <w:szCs w:val="20"/>
        </w:rPr>
        <w:t xml:space="preserve">requeridas, </w:t>
      </w:r>
      <w:r w:rsidRPr="00811EE0">
        <w:rPr>
          <w:rFonts w:cs="Times New Roman"/>
          <w:sz w:val="20"/>
          <w:szCs w:val="20"/>
        </w:rPr>
        <w:t>debe plantear</w:t>
      </w:r>
      <w:r w:rsidR="009D06D2" w:rsidRPr="00811EE0">
        <w:rPr>
          <w:rFonts w:cs="Times New Roman"/>
          <w:sz w:val="20"/>
          <w:szCs w:val="20"/>
        </w:rPr>
        <w:t xml:space="preserve"> al órgano de gobierno de</w:t>
      </w:r>
      <w:r w:rsidR="001F167C">
        <w:rPr>
          <w:rFonts w:cs="Times New Roman"/>
          <w:sz w:val="20"/>
          <w:szCs w:val="20"/>
        </w:rPr>
        <w:t>l</w:t>
      </w:r>
      <w:r w:rsidR="009D06D2" w:rsidRPr="00811EE0">
        <w:rPr>
          <w:rFonts w:cs="Times New Roman"/>
          <w:sz w:val="20"/>
          <w:szCs w:val="20"/>
        </w:rPr>
        <w:t xml:space="preserve"> </w:t>
      </w:r>
      <w:r w:rsidR="001F167C">
        <w:rPr>
          <w:rFonts w:cs="Times New Roman"/>
          <w:sz w:val="20"/>
          <w:szCs w:val="20"/>
        </w:rPr>
        <w:t>O</w:t>
      </w:r>
      <w:r w:rsidR="009D06D2" w:rsidRPr="00811EE0">
        <w:rPr>
          <w:rFonts w:cs="Times New Roman"/>
          <w:sz w:val="20"/>
          <w:szCs w:val="20"/>
        </w:rPr>
        <w:t>CEX</w:t>
      </w:r>
      <w:r w:rsidRPr="00811EE0">
        <w:rPr>
          <w:rFonts w:cs="Times New Roman"/>
          <w:sz w:val="20"/>
          <w:szCs w:val="20"/>
        </w:rPr>
        <w:t xml:space="preserve"> </w:t>
      </w:r>
      <w:r w:rsidR="00FC17F5" w:rsidRPr="00811EE0">
        <w:rPr>
          <w:rFonts w:cs="Times New Roman"/>
          <w:sz w:val="20"/>
          <w:szCs w:val="20"/>
        </w:rPr>
        <w:t>la limitación de determinados procedimientos (que deberán señalarse en el informe) o</w:t>
      </w:r>
      <w:r w:rsidRPr="00811EE0">
        <w:rPr>
          <w:rFonts w:cs="Times New Roman"/>
          <w:sz w:val="20"/>
          <w:szCs w:val="20"/>
        </w:rPr>
        <w:t xml:space="preserve"> la viabilidad y oportunidad de </w:t>
      </w:r>
      <w:r w:rsidR="00DD464D" w:rsidRPr="00811EE0">
        <w:rPr>
          <w:rFonts w:cs="Times New Roman"/>
          <w:sz w:val="20"/>
          <w:szCs w:val="20"/>
        </w:rPr>
        <w:t>modificar el</w:t>
      </w:r>
      <w:r w:rsidRPr="00811EE0">
        <w:rPr>
          <w:rFonts w:cs="Times New Roman"/>
          <w:sz w:val="20"/>
          <w:szCs w:val="20"/>
        </w:rPr>
        <w:t xml:space="preserve"> tipo</w:t>
      </w:r>
      <w:r w:rsidR="00DD464D" w:rsidRPr="00811EE0">
        <w:rPr>
          <w:rFonts w:cs="Times New Roman"/>
          <w:sz w:val="20"/>
          <w:szCs w:val="20"/>
        </w:rPr>
        <w:t xml:space="preserve"> y/o alcance de la auditoría a realizar</w:t>
      </w:r>
      <w:r w:rsidRPr="00811EE0">
        <w:rPr>
          <w:rFonts w:cs="Times New Roman"/>
          <w:sz w:val="20"/>
          <w:szCs w:val="20"/>
        </w:rPr>
        <w:t>.</w:t>
      </w:r>
      <w:r w:rsidRPr="00811EE0">
        <w:rPr>
          <w:rFonts w:cs="Times New Roman"/>
          <w:color w:val="000000"/>
          <w:sz w:val="20"/>
          <w:szCs w:val="20"/>
        </w:rPr>
        <w:t xml:space="preserve"> </w:t>
      </w:r>
      <w:r w:rsidRPr="00811EE0">
        <w:rPr>
          <w:rFonts w:cs="Times New Roman"/>
          <w:i/>
          <w:color w:val="000000"/>
          <w:sz w:val="20"/>
          <w:szCs w:val="20"/>
        </w:rPr>
        <w:t>(NIA805; A6)</w:t>
      </w:r>
      <w:r w:rsidR="00FC17F5" w:rsidRPr="00811EE0">
        <w:rPr>
          <w:rFonts w:cs="Times New Roman"/>
          <w:i/>
          <w:color w:val="000000"/>
          <w:sz w:val="20"/>
          <w:szCs w:val="20"/>
        </w:rPr>
        <w:t xml:space="preserve"> (ISSAI 1805, P3)</w:t>
      </w:r>
      <w:r w:rsidRPr="00811EE0">
        <w:rPr>
          <w:rFonts w:cs="Times New Roman"/>
          <w:i/>
          <w:color w:val="000000"/>
          <w:sz w:val="20"/>
          <w:szCs w:val="20"/>
        </w:rPr>
        <w:t>.</w:t>
      </w:r>
    </w:p>
    <w:p w14:paraId="53CEACCA" w14:textId="77777777" w:rsidR="00870B14" w:rsidRPr="00811EE0" w:rsidRDefault="00001F3D" w:rsidP="00001F3D">
      <w:pPr>
        <w:widowControl w:val="0"/>
        <w:tabs>
          <w:tab w:val="left" w:pos="426"/>
        </w:tabs>
        <w:autoSpaceDE w:val="0"/>
        <w:autoSpaceDN w:val="0"/>
        <w:adjustRightInd w:val="0"/>
        <w:spacing w:before="240" w:after="120" w:line="240" w:lineRule="auto"/>
        <w:rPr>
          <w:rFonts w:cs="Times New Roman"/>
          <w:b/>
          <w:bCs/>
          <w:color w:val="000000"/>
          <w:sz w:val="20"/>
          <w:szCs w:val="20"/>
        </w:rPr>
      </w:pPr>
      <w:r w:rsidRPr="00811EE0">
        <w:rPr>
          <w:rFonts w:cs="Times New Roman"/>
          <w:b/>
          <w:bCs/>
          <w:color w:val="000000"/>
          <w:sz w:val="20"/>
          <w:szCs w:val="20"/>
        </w:rPr>
        <w:t>V</w:t>
      </w:r>
      <w:r w:rsidRPr="00811EE0">
        <w:rPr>
          <w:rFonts w:cs="Times New Roman"/>
          <w:b/>
          <w:bCs/>
          <w:color w:val="000000"/>
          <w:sz w:val="20"/>
          <w:szCs w:val="20"/>
        </w:rPr>
        <w:tab/>
      </w:r>
      <w:r w:rsidR="00870B14" w:rsidRPr="00811EE0">
        <w:rPr>
          <w:rFonts w:cs="Times New Roman"/>
          <w:b/>
          <w:bCs/>
          <w:color w:val="000000"/>
          <w:sz w:val="20"/>
          <w:szCs w:val="20"/>
        </w:rPr>
        <w:t>Consideraciones para la planificación y realización de la auditoría</w:t>
      </w:r>
    </w:p>
    <w:p w14:paraId="53CEACCB" w14:textId="04222965" w:rsidR="00870B14" w:rsidRPr="00811EE0" w:rsidRDefault="00870B14" w:rsidP="00FC17F5">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En la planificación y en la realización de la auditoría de un solo estado financiero o de un elemento específico de un estado financiero, el auditor adaptará todas las </w:t>
      </w:r>
      <w:r w:rsidR="00FC17F5" w:rsidRPr="00811EE0">
        <w:rPr>
          <w:sz w:val="20"/>
          <w:szCs w:val="20"/>
        </w:rPr>
        <w:t>ISSAI-ES/</w:t>
      </w:r>
      <w:r w:rsidR="00990FC8" w:rsidRPr="00811EE0">
        <w:rPr>
          <w:rFonts w:cs="Times New Roman"/>
          <w:sz w:val="20"/>
          <w:szCs w:val="20"/>
        </w:rPr>
        <w:t xml:space="preserve"> NIA-ES-SP</w:t>
      </w:r>
      <w:r w:rsidRPr="00811EE0">
        <w:rPr>
          <w:sz w:val="20"/>
          <w:szCs w:val="20"/>
        </w:rPr>
        <w:t xml:space="preserve"> aplicables a la auditoría en la medida en que lo requieran las circunstancias del encargo</w:t>
      </w:r>
      <w:r w:rsidR="00FC17F5" w:rsidRPr="00811EE0">
        <w:rPr>
          <w:sz w:val="20"/>
          <w:szCs w:val="20"/>
        </w:rPr>
        <w:t xml:space="preserve"> para obtener evidencia de auditoría suficiente y adecuada en la que basar la opinión sobre el estado financiero o sobre el elemento. </w:t>
      </w:r>
      <w:r w:rsidR="00FC17F5" w:rsidRPr="00811EE0">
        <w:rPr>
          <w:i/>
          <w:sz w:val="18"/>
          <w:szCs w:val="20"/>
        </w:rPr>
        <w:t xml:space="preserve">(NIA805; </w:t>
      </w:r>
      <w:r w:rsidR="00CC1588" w:rsidRPr="00811EE0">
        <w:rPr>
          <w:i/>
          <w:sz w:val="18"/>
          <w:szCs w:val="20"/>
        </w:rPr>
        <w:t xml:space="preserve">P10 y </w:t>
      </w:r>
      <w:r w:rsidR="00FC17F5" w:rsidRPr="00811EE0">
        <w:rPr>
          <w:i/>
          <w:sz w:val="18"/>
          <w:szCs w:val="20"/>
        </w:rPr>
        <w:t>A12)</w:t>
      </w:r>
      <w:r w:rsidR="00FC17F5" w:rsidRPr="00811EE0">
        <w:rPr>
          <w:sz w:val="20"/>
          <w:szCs w:val="20"/>
        </w:rPr>
        <w:t>.</w:t>
      </w:r>
    </w:p>
    <w:p w14:paraId="53CEACCC" w14:textId="3987DD65" w:rsidR="00CC1588" w:rsidRPr="00811EE0" w:rsidRDefault="00CC1588" w:rsidP="00FC17F5">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E</w:t>
      </w:r>
      <w:r w:rsidR="00870B14" w:rsidRPr="00811EE0">
        <w:rPr>
          <w:sz w:val="20"/>
          <w:szCs w:val="20"/>
        </w:rPr>
        <w:t xml:space="preserve">n principio, son de aplicación las </w:t>
      </w:r>
      <w:r w:rsidR="00FC17F5" w:rsidRPr="00811EE0">
        <w:rPr>
          <w:sz w:val="20"/>
          <w:szCs w:val="20"/>
        </w:rPr>
        <w:t>ISSAI-ES/</w:t>
      </w:r>
      <w:r w:rsidR="00990FC8" w:rsidRPr="00811EE0">
        <w:rPr>
          <w:rFonts w:cs="Times New Roman"/>
          <w:sz w:val="20"/>
          <w:szCs w:val="20"/>
        </w:rPr>
        <w:t xml:space="preserve"> NIA-ES-SP</w:t>
      </w:r>
      <w:r w:rsidR="00870B14" w:rsidRPr="00811EE0">
        <w:rPr>
          <w:sz w:val="20"/>
          <w:szCs w:val="20"/>
        </w:rPr>
        <w:t xml:space="preserve">, tales como la </w:t>
      </w:r>
      <w:r w:rsidR="00DD464D" w:rsidRPr="00811EE0">
        <w:rPr>
          <w:sz w:val="20"/>
          <w:szCs w:val="20"/>
        </w:rPr>
        <w:t>MFSC-1240/</w:t>
      </w:r>
      <w:r w:rsidR="00990FC8" w:rsidRPr="00811EE0">
        <w:rPr>
          <w:rFonts w:cs="Times New Roman"/>
          <w:sz w:val="20"/>
          <w:szCs w:val="20"/>
        </w:rPr>
        <w:t xml:space="preserve"> NIA-ES-SP</w:t>
      </w:r>
      <w:r w:rsidR="00DD464D" w:rsidRPr="00811EE0">
        <w:rPr>
          <w:sz w:val="20"/>
          <w:szCs w:val="20"/>
        </w:rPr>
        <w:t xml:space="preserve"> </w:t>
      </w:r>
      <w:r w:rsidR="00990FC8" w:rsidRPr="00811EE0">
        <w:rPr>
          <w:sz w:val="20"/>
          <w:szCs w:val="20"/>
        </w:rPr>
        <w:t>1</w:t>
      </w:r>
      <w:r w:rsidR="00870B14" w:rsidRPr="00811EE0">
        <w:rPr>
          <w:sz w:val="20"/>
          <w:szCs w:val="20"/>
        </w:rPr>
        <w:t xml:space="preserve">240, la </w:t>
      </w:r>
      <w:r w:rsidR="00990FC8" w:rsidRPr="00811EE0">
        <w:rPr>
          <w:rFonts w:cs="Times New Roman"/>
          <w:sz w:val="20"/>
          <w:szCs w:val="20"/>
        </w:rPr>
        <w:t>NIA-ES-SP</w:t>
      </w:r>
      <w:r w:rsidR="00990FC8" w:rsidRPr="00811EE0">
        <w:rPr>
          <w:sz w:val="20"/>
          <w:szCs w:val="20"/>
        </w:rPr>
        <w:t xml:space="preserve"> 1</w:t>
      </w:r>
      <w:r w:rsidR="00870B14" w:rsidRPr="00811EE0">
        <w:rPr>
          <w:sz w:val="20"/>
          <w:szCs w:val="20"/>
        </w:rPr>
        <w:t xml:space="preserve">550 y la </w:t>
      </w:r>
      <w:r w:rsidR="00990FC8" w:rsidRPr="00811EE0">
        <w:rPr>
          <w:rFonts w:cs="Times New Roman"/>
          <w:sz w:val="20"/>
          <w:szCs w:val="20"/>
        </w:rPr>
        <w:t>NIA-ES-SP</w:t>
      </w:r>
      <w:r w:rsidR="00990FC8" w:rsidRPr="00811EE0">
        <w:rPr>
          <w:sz w:val="20"/>
          <w:szCs w:val="20"/>
        </w:rPr>
        <w:t xml:space="preserve"> 1</w:t>
      </w:r>
      <w:r w:rsidR="00870B14" w:rsidRPr="00811EE0">
        <w:rPr>
          <w:sz w:val="20"/>
          <w:szCs w:val="20"/>
        </w:rPr>
        <w:t xml:space="preserve">570. Esto se debe a que el elemento podría contener una incorrección debida a fraude, al efecto de transacciones entre partes vinculadas, o a la incorrecta aplicación de la hipótesis de empresa en funcionamiento, en el marco de información financiera aplicable. </w:t>
      </w:r>
      <w:r w:rsidRPr="00811EE0">
        <w:rPr>
          <w:i/>
          <w:sz w:val="18"/>
          <w:szCs w:val="20"/>
        </w:rPr>
        <w:t>(NIA805; A10).</w:t>
      </w:r>
    </w:p>
    <w:p w14:paraId="53CEACCD" w14:textId="77777777" w:rsidR="00870B14" w:rsidRPr="00811EE0" w:rsidRDefault="009D06D2" w:rsidP="00CC1588">
      <w:pPr>
        <w:pStyle w:val="Prrafodelista"/>
        <w:autoSpaceDE w:val="0"/>
        <w:autoSpaceDN w:val="0"/>
        <w:adjustRightInd w:val="0"/>
        <w:spacing w:before="120" w:after="120" w:line="240" w:lineRule="auto"/>
        <w:ind w:left="425"/>
        <w:contextualSpacing w:val="0"/>
        <w:jc w:val="both"/>
        <w:rPr>
          <w:sz w:val="20"/>
          <w:szCs w:val="20"/>
        </w:rPr>
      </w:pPr>
      <w:r w:rsidRPr="00811EE0">
        <w:rPr>
          <w:sz w:val="20"/>
          <w:szCs w:val="20"/>
        </w:rPr>
        <w:t xml:space="preserve">Las </w:t>
      </w:r>
      <w:r w:rsidR="00CC1588" w:rsidRPr="00811EE0">
        <w:rPr>
          <w:sz w:val="20"/>
          <w:szCs w:val="20"/>
        </w:rPr>
        <w:t>manifestaciones escritas de la dirección sobre el conjunto completo de estados financieros se</w:t>
      </w:r>
      <w:r w:rsidRPr="00811EE0">
        <w:rPr>
          <w:sz w:val="20"/>
          <w:szCs w:val="20"/>
        </w:rPr>
        <w:t xml:space="preserve"> sustituirán</w:t>
      </w:r>
      <w:r w:rsidR="00CC1588" w:rsidRPr="00811EE0">
        <w:rPr>
          <w:sz w:val="20"/>
          <w:szCs w:val="20"/>
        </w:rPr>
        <w:t xml:space="preserve"> por manifestaciones escritas sobre la presentación del estado financiero o del elemento, de conformidad con el marco de información financiera aplicable. </w:t>
      </w:r>
      <w:r w:rsidR="00CC1588" w:rsidRPr="00811EE0">
        <w:rPr>
          <w:i/>
          <w:sz w:val="18"/>
          <w:szCs w:val="20"/>
        </w:rPr>
        <w:t xml:space="preserve">(NIA805; A11). </w:t>
      </w:r>
    </w:p>
    <w:p w14:paraId="53CEACCE" w14:textId="77777777" w:rsidR="00870B14" w:rsidRPr="00811EE0" w:rsidRDefault="00870B14" w:rsidP="00FC17F5">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Los distintos estados financieros que conforman el conjunto completo de estados financieros, y muchos de los elementos de dichos estados financieros, incluidas las notas explicativas, están interrelacionados. </w:t>
      </w:r>
      <w:r w:rsidR="00DD464D" w:rsidRPr="00811EE0">
        <w:rPr>
          <w:sz w:val="20"/>
          <w:szCs w:val="20"/>
        </w:rPr>
        <w:t>C</w:t>
      </w:r>
      <w:r w:rsidRPr="00811EE0">
        <w:rPr>
          <w:sz w:val="20"/>
          <w:szCs w:val="20"/>
        </w:rPr>
        <w:t xml:space="preserve">uando se realice la auditoría de un solo estado financiero o de un elemento específico de un estado financiero, es posible que el auditor no pueda considerar, de manera aislada, el estado financiero o el elemento. En consecuencia, el auditor, para alcanzar el objetivo de la auditoría, puede necesitar aplicar procedimientos en relación con los elementos interrelacionados. </w:t>
      </w:r>
      <w:r w:rsidRPr="00811EE0">
        <w:rPr>
          <w:i/>
          <w:sz w:val="18"/>
          <w:szCs w:val="20"/>
        </w:rPr>
        <w:t>(NIA805; A13).</w:t>
      </w:r>
    </w:p>
    <w:p w14:paraId="53CEACCF" w14:textId="77777777" w:rsidR="00870B14" w:rsidRPr="00811EE0" w:rsidRDefault="00870B14" w:rsidP="00CC1588">
      <w:pPr>
        <w:pStyle w:val="Prrafodelista"/>
        <w:autoSpaceDE w:val="0"/>
        <w:autoSpaceDN w:val="0"/>
        <w:adjustRightInd w:val="0"/>
        <w:spacing w:before="120" w:after="120" w:line="240" w:lineRule="auto"/>
        <w:ind w:left="425"/>
        <w:contextualSpacing w:val="0"/>
        <w:jc w:val="both"/>
        <w:rPr>
          <w:sz w:val="20"/>
          <w:szCs w:val="20"/>
        </w:rPr>
      </w:pPr>
      <w:r w:rsidRPr="00811EE0">
        <w:rPr>
          <w:sz w:val="20"/>
          <w:szCs w:val="20"/>
        </w:rPr>
        <w:t xml:space="preserve">Por ejemplo, la auditoría de los gastos por compras requiere </w:t>
      </w:r>
      <w:r w:rsidR="00CC1588" w:rsidRPr="00811EE0">
        <w:rPr>
          <w:sz w:val="20"/>
          <w:szCs w:val="20"/>
        </w:rPr>
        <w:t>ejecutar</w:t>
      </w:r>
      <w:r w:rsidRPr="00811EE0">
        <w:rPr>
          <w:sz w:val="20"/>
          <w:szCs w:val="20"/>
        </w:rPr>
        <w:t xml:space="preserve"> procedimientos de auditoría </w:t>
      </w:r>
      <w:r w:rsidR="00CC1588" w:rsidRPr="00811EE0">
        <w:rPr>
          <w:sz w:val="20"/>
          <w:szCs w:val="20"/>
        </w:rPr>
        <w:t>relacionados con</w:t>
      </w:r>
      <w:r w:rsidRPr="00811EE0">
        <w:rPr>
          <w:sz w:val="20"/>
          <w:szCs w:val="20"/>
        </w:rPr>
        <w:t xml:space="preserve"> los saldos de proveedores relacionados.</w:t>
      </w:r>
    </w:p>
    <w:p w14:paraId="53CEACD0" w14:textId="77777777" w:rsidR="00870B14" w:rsidRPr="00811EE0" w:rsidRDefault="00870B14" w:rsidP="00FC17F5">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Asimismo, la importancia relativa determinada para un solo estado financiero o para un elemento específico de un estado financiero puede ser inferior a la importancia relativa determinada para el conjunto completo de estados financieros de la entidad. Esto afectará a la naturaleza, al momento de realización y a la extensión de los procedimientos de auditoría, así como a la evaluación de las incorrecciones no corregidas. </w:t>
      </w:r>
      <w:r w:rsidRPr="00811EE0">
        <w:rPr>
          <w:i/>
          <w:sz w:val="18"/>
          <w:szCs w:val="20"/>
        </w:rPr>
        <w:t>(NIA805; A14).</w:t>
      </w:r>
    </w:p>
    <w:p w14:paraId="53CEACD2" w14:textId="77777777" w:rsidR="00870B14" w:rsidRPr="00811EE0" w:rsidRDefault="00001F3D" w:rsidP="00001F3D">
      <w:pPr>
        <w:widowControl w:val="0"/>
        <w:tabs>
          <w:tab w:val="left" w:pos="426"/>
        </w:tabs>
        <w:autoSpaceDE w:val="0"/>
        <w:autoSpaceDN w:val="0"/>
        <w:adjustRightInd w:val="0"/>
        <w:spacing w:before="240" w:after="120" w:line="240" w:lineRule="auto"/>
        <w:rPr>
          <w:rFonts w:cs="Times New Roman"/>
          <w:b/>
          <w:bCs/>
          <w:color w:val="000000"/>
          <w:sz w:val="20"/>
          <w:szCs w:val="20"/>
        </w:rPr>
      </w:pPr>
      <w:r w:rsidRPr="00811EE0">
        <w:rPr>
          <w:rFonts w:cs="Times New Roman"/>
          <w:b/>
          <w:bCs/>
          <w:color w:val="000000"/>
          <w:sz w:val="20"/>
          <w:szCs w:val="20"/>
        </w:rPr>
        <w:t>VI</w:t>
      </w:r>
      <w:r w:rsidRPr="00811EE0">
        <w:rPr>
          <w:rFonts w:cs="Times New Roman"/>
          <w:b/>
          <w:bCs/>
          <w:color w:val="000000"/>
          <w:sz w:val="20"/>
          <w:szCs w:val="20"/>
        </w:rPr>
        <w:tab/>
      </w:r>
      <w:r w:rsidR="00870B14" w:rsidRPr="00811EE0">
        <w:rPr>
          <w:rFonts w:cs="Times New Roman"/>
          <w:b/>
          <w:bCs/>
          <w:color w:val="000000"/>
          <w:sz w:val="20"/>
          <w:szCs w:val="20"/>
        </w:rPr>
        <w:t>Consideraciones relativas a la formación de la opinión y a los informes</w:t>
      </w:r>
    </w:p>
    <w:p w14:paraId="53CEACD3" w14:textId="77777777" w:rsidR="00DD464D" w:rsidRPr="00811EE0" w:rsidRDefault="00DD464D" w:rsidP="00DD464D">
      <w:pPr>
        <w:pStyle w:val="Prrafodelista"/>
        <w:numPr>
          <w:ilvl w:val="0"/>
          <w:numId w:val="12"/>
        </w:numPr>
        <w:spacing w:before="120" w:after="120" w:line="240" w:lineRule="auto"/>
        <w:ind w:left="426" w:hanging="426"/>
        <w:contextualSpacing w:val="0"/>
        <w:jc w:val="both"/>
        <w:rPr>
          <w:rFonts w:eastAsia="Arial" w:cs="Arial"/>
          <w:b/>
          <w:spacing w:val="2"/>
          <w:sz w:val="20"/>
          <w:szCs w:val="20"/>
        </w:rPr>
      </w:pPr>
      <w:r w:rsidRPr="00811EE0">
        <w:rPr>
          <w:rFonts w:eastAsia="Arial" w:cs="Arial"/>
          <w:b/>
          <w:spacing w:val="2"/>
          <w:sz w:val="20"/>
          <w:szCs w:val="20"/>
        </w:rPr>
        <w:t xml:space="preserve">El auditor debe considerar si la forma esperada de opinión es adecuada teniendo en cuentas las circunstancias del trabajo y deberá adaptar su informe si fuese necesario. </w:t>
      </w:r>
      <w:r w:rsidRPr="00811EE0">
        <w:rPr>
          <w:rFonts w:eastAsia="Arial" w:cs="Arial"/>
          <w:i/>
          <w:spacing w:val="2"/>
          <w:sz w:val="18"/>
          <w:szCs w:val="20"/>
        </w:rPr>
        <w:t>(ISSAI-ES 200; P167) (NIA805; P9).</w:t>
      </w:r>
    </w:p>
    <w:p w14:paraId="53CEACD4" w14:textId="30546DD3" w:rsidR="00870B14" w:rsidRPr="00811EE0" w:rsidRDefault="00870B14" w:rsidP="009D06D2">
      <w:pPr>
        <w:pStyle w:val="Prrafodelista"/>
        <w:numPr>
          <w:ilvl w:val="0"/>
          <w:numId w:val="12"/>
        </w:numPr>
        <w:autoSpaceDE w:val="0"/>
        <w:autoSpaceDN w:val="0"/>
        <w:adjustRightInd w:val="0"/>
        <w:spacing w:before="120" w:after="120" w:line="240" w:lineRule="auto"/>
        <w:ind w:left="426" w:hanging="426"/>
        <w:contextualSpacing w:val="0"/>
        <w:jc w:val="both"/>
        <w:rPr>
          <w:sz w:val="20"/>
          <w:szCs w:val="20"/>
        </w:rPr>
      </w:pPr>
      <w:r w:rsidRPr="00811EE0">
        <w:rPr>
          <w:sz w:val="20"/>
          <w:szCs w:val="20"/>
        </w:rPr>
        <w:t xml:space="preserve">Para formarse una opinión y emitir un informe sobre un solo estado financiero o sobre un elemento específico de un estado financiero, el auditor aplicará los requerimientos </w:t>
      </w:r>
      <w:r w:rsidR="00153627" w:rsidRPr="00811EE0">
        <w:rPr>
          <w:sz w:val="20"/>
          <w:szCs w:val="20"/>
        </w:rPr>
        <w:t xml:space="preserve">de las NIA-ES-SP </w:t>
      </w:r>
      <w:r w:rsidR="00683DAE" w:rsidRPr="00811EE0">
        <w:rPr>
          <w:sz w:val="20"/>
          <w:szCs w:val="20"/>
        </w:rPr>
        <w:t xml:space="preserve">17xx y </w:t>
      </w:r>
      <w:r w:rsidRPr="00811EE0">
        <w:rPr>
          <w:sz w:val="20"/>
          <w:szCs w:val="20"/>
        </w:rPr>
        <w:t>de la</w:t>
      </w:r>
      <w:r w:rsidR="00050F46" w:rsidRPr="00811EE0">
        <w:rPr>
          <w:sz w:val="20"/>
          <w:szCs w:val="20"/>
        </w:rPr>
        <w:t xml:space="preserve"> </w:t>
      </w:r>
      <w:r w:rsidR="00050F46" w:rsidRPr="00811EE0">
        <w:rPr>
          <w:b/>
          <w:i/>
          <w:sz w:val="20"/>
          <w:szCs w:val="20"/>
        </w:rPr>
        <w:t>GPF-OCEX 1730</w:t>
      </w:r>
      <w:r w:rsidRPr="00811EE0">
        <w:rPr>
          <w:sz w:val="20"/>
          <w:szCs w:val="20"/>
        </w:rPr>
        <w:t xml:space="preserve"> </w:t>
      </w:r>
      <w:r w:rsidR="00123466" w:rsidRPr="00811EE0">
        <w:rPr>
          <w:b/>
          <w:i/>
          <w:sz w:val="20"/>
          <w:szCs w:val="20"/>
        </w:rPr>
        <w:t>P</w:t>
      </w:r>
      <w:r w:rsidR="009D06D2" w:rsidRPr="00811EE0">
        <w:rPr>
          <w:b/>
          <w:i/>
          <w:sz w:val="20"/>
          <w:szCs w:val="20"/>
        </w:rPr>
        <w:t>reparación de Informes de auditoría sobre los estados financieros</w:t>
      </w:r>
      <w:r w:rsidRPr="00811EE0">
        <w:rPr>
          <w:sz w:val="20"/>
          <w:szCs w:val="20"/>
        </w:rPr>
        <w:t xml:space="preserve">, adaptados, según corresponda, a las circunstancias del encargo. </w:t>
      </w:r>
      <w:r w:rsidRPr="00811EE0">
        <w:rPr>
          <w:i/>
          <w:sz w:val="18"/>
          <w:szCs w:val="20"/>
        </w:rPr>
        <w:t>(NIA805; P11).</w:t>
      </w:r>
    </w:p>
    <w:p w14:paraId="53CEACD5" w14:textId="77777777" w:rsidR="00D0493F" w:rsidRPr="00811EE0" w:rsidRDefault="00D0493F" w:rsidP="00CC1588">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lastRenderedPageBreak/>
        <w:t>Además de informar sobre si el estado financiero individual o el elemento concreto de un estado financiero han sido elaborados de acuerdo con el marco de información financiera aplicable, el informe del auditor puede reflejar una obligación adicional de información. En tal caso, el auditor describirá las exigencias de la legislación o del mandato de auditoría correspondientes.</w:t>
      </w:r>
      <w:r w:rsidR="0088227B" w:rsidRPr="00811EE0">
        <w:rPr>
          <w:sz w:val="20"/>
          <w:szCs w:val="20"/>
        </w:rPr>
        <w:t xml:space="preserve"> </w:t>
      </w:r>
      <w:r w:rsidR="0088227B" w:rsidRPr="00811EE0">
        <w:rPr>
          <w:i/>
          <w:sz w:val="18"/>
          <w:szCs w:val="20"/>
        </w:rPr>
        <w:t>(ISSAI 1805; P8).</w:t>
      </w:r>
    </w:p>
    <w:p w14:paraId="53CEACD6" w14:textId="7027B9BA" w:rsidR="00870B14" w:rsidRPr="00811EE0" w:rsidRDefault="00870B14" w:rsidP="004F4518">
      <w:pPr>
        <w:pStyle w:val="Prrafodelista"/>
        <w:widowControl w:val="0"/>
        <w:numPr>
          <w:ilvl w:val="0"/>
          <w:numId w:val="12"/>
        </w:numPr>
        <w:autoSpaceDE w:val="0"/>
        <w:autoSpaceDN w:val="0"/>
        <w:adjustRightInd w:val="0"/>
        <w:spacing w:before="120" w:after="120" w:line="240" w:lineRule="auto"/>
        <w:ind w:left="425" w:hanging="425"/>
        <w:contextualSpacing w:val="0"/>
        <w:jc w:val="both"/>
        <w:rPr>
          <w:sz w:val="20"/>
          <w:szCs w:val="20"/>
        </w:rPr>
      </w:pPr>
      <w:r w:rsidRPr="00811EE0">
        <w:rPr>
          <w:sz w:val="20"/>
          <w:szCs w:val="20"/>
        </w:rPr>
        <w:t>La</w:t>
      </w:r>
      <w:r w:rsidR="00683DAE" w:rsidRPr="00811EE0">
        <w:rPr>
          <w:sz w:val="20"/>
          <w:szCs w:val="20"/>
        </w:rPr>
        <w:t xml:space="preserve">s NIA-ES-SP 17xx </w:t>
      </w:r>
      <w:r w:rsidRPr="00811EE0">
        <w:rPr>
          <w:sz w:val="20"/>
          <w:szCs w:val="20"/>
        </w:rPr>
        <w:t>requiere</w:t>
      </w:r>
      <w:r w:rsidR="00683DAE" w:rsidRPr="00811EE0">
        <w:rPr>
          <w:sz w:val="20"/>
          <w:szCs w:val="20"/>
        </w:rPr>
        <w:t>n</w:t>
      </w:r>
      <w:r w:rsidRPr="00811EE0">
        <w:rPr>
          <w:sz w:val="20"/>
          <w:szCs w:val="20"/>
        </w:rPr>
        <w:t xml:space="preserve"> que el auditor, al formarse una opinión, evalúe si los estados financieros proporcionan la información adecuada para permitir a los usuarios a quienes se destina el informe, entender el efecto de las transacciones y de los hechos materiales sobre la información contenida en los estados financieros. En el caso de la auditoría de un solo estado financiero o</w:t>
      </w:r>
      <w:r w:rsidR="001F167C">
        <w:rPr>
          <w:sz w:val="20"/>
          <w:szCs w:val="20"/>
        </w:rPr>
        <w:t xml:space="preserve"> sobre</w:t>
      </w:r>
      <w:r w:rsidRPr="00811EE0">
        <w:rPr>
          <w:sz w:val="20"/>
          <w:szCs w:val="20"/>
        </w:rPr>
        <w:t xml:space="preserve"> de un elemento específico de un estado financiero, es importante que el estado financiero o que el elemento, incluidas las notas explicativas, teniendo en cuenta el marco de información financiera aplicable, revelen la información que permita a los usuarios a quienes se destina el informe, entender la información contenida en el estado financiero o en el elemento, así como el efecto de las transacciones y de los hechos materiales sobre la información contenida en el estado financiero o en el elemento. </w:t>
      </w:r>
      <w:r w:rsidRPr="00811EE0">
        <w:rPr>
          <w:i/>
          <w:sz w:val="18"/>
          <w:szCs w:val="20"/>
        </w:rPr>
        <w:t>(NIA805; A15).</w:t>
      </w:r>
    </w:p>
    <w:p w14:paraId="53CEACD7" w14:textId="77777777" w:rsidR="00870B14" w:rsidRPr="00811EE0" w:rsidRDefault="00001F3D" w:rsidP="00001F3D">
      <w:pPr>
        <w:widowControl w:val="0"/>
        <w:tabs>
          <w:tab w:val="left" w:pos="426"/>
        </w:tabs>
        <w:autoSpaceDE w:val="0"/>
        <w:autoSpaceDN w:val="0"/>
        <w:adjustRightInd w:val="0"/>
        <w:spacing w:before="240" w:after="120" w:line="240" w:lineRule="auto"/>
        <w:ind w:left="426" w:hanging="426"/>
        <w:rPr>
          <w:rFonts w:cs="Times New Roman"/>
          <w:b/>
          <w:bCs/>
          <w:color w:val="000000"/>
          <w:sz w:val="20"/>
          <w:szCs w:val="20"/>
        </w:rPr>
      </w:pPr>
      <w:r w:rsidRPr="00811EE0">
        <w:rPr>
          <w:rFonts w:cs="Times New Roman"/>
          <w:b/>
          <w:bCs/>
          <w:color w:val="000000"/>
          <w:sz w:val="20"/>
          <w:szCs w:val="20"/>
        </w:rPr>
        <w:t>VII</w:t>
      </w:r>
      <w:r w:rsidRPr="00811EE0">
        <w:rPr>
          <w:rFonts w:cs="Times New Roman"/>
          <w:b/>
          <w:bCs/>
          <w:color w:val="000000"/>
          <w:sz w:val="20"/>
          <w:szCs w:val="20"/>
        </w:rPr>
        <w:tab/>
      </w:r>
      <w:r w:rsidR="0088227B" w:rsidRPr="00811EE0">
        <w:rPr>
          <w:rFonts w:cs="Times New Roman"/>
          <w:b/>
          <w:bCs/>
          <w:color w:val="000000"/>
          <w:sz w:val="20"/>
          <w:szCs w:val="20"/>
        </w:rPr>
        <w:t>Consideraciones cuando se emiten i</w:t>
      </w:r>
      <w:r w:rsidR="00870B14" w:rsidRPr="00811EE0">
        <w:rPr>
          <w:rFonts w:cs="Times New Roman"/>
          <w:b/>
          <w:bCs/>
          <w:color w:val="000000"/>
          <w:sz w:val="20"/>
          <w:szCs w:val="20"/>
        </w:rPr>
        <w:t>nformes sobre el conjunto completo de estados financieros de la entidad y sobre un solo estado financiero o sobre un elemento específico de dichos estados financieros</w:t>
      </w:r>
    </w:p>
    <w:p w14:paraId="53CEACD8" w14:textId="77777777" w:rsidR="006B5FD1" w:rsidRPr="00811EE0" w:rsidRDefault="006B5FD1" w:rsidP="003E457E">
      <w:pPr>
        <w:pStyle w:val="Prrafodelista"/>
        <w:numPr>
          <w:ilvl w:val="0"/>
          <w:numId w:val="12"/>
        </w:numPr>
        <w:spacing w:before="120" w:after="120" w:line="240" w:lineRule="auto"/>
        <w:ind w:left="426" w:hanging="426"/>
        <w:contextualSpacing w:val="0"/>
        <w:jc w:val="both"/>
        <w:rPr>
          <w:rFonts w:eastAsia="Arial" w:cs="Arial"/>
          <w:spacing w:val="2"/>
          <w:sz w:val="20"/>
          <w:szCs w:val="20"/>
        </w:rPr>
      </w:pPr>
      <w:r w:rsidRPr="00811EE0">
        <w:rPr>
          <w:rFonts w:eastAsia="Arial" w:cs="Arial"/>
          <w:spacing w:val="2"/>
          <w:sz w:val="20"/>
          <w:szCs w:val="20"/>
        </w:rPr>
        <w:t xml:space="preserve">Si el auditor debe emitir un informe sobre un solo estado financiero o de un elemento, cuenta o partida específicos de un estado financiero, y además al mismo tiempo audita el conjunto completo de estados financieros de la entidad, el auditor deberá emitir una opinión separada para cada trabajo. </w:t>
      </w:r>
      <w:r w:rsidRPr="00811EE0">
        <w:rPr>
          <w:rFonts w:eastAsia="Arial" w:cs="Arial"/>
          <w:i/>
          <w:spacing w:val="2"/>
          <w:sz w:val="18"/>
          <w:szCs w:val="20"/>
        </w:rPr>
        <w:t>(ISSAI-ES 200; P168) (NIA805; P12).</w:t>
      </w:r>
    </w:p>
    <w:p w14:paraId="53CEACD9" w14:textId="77777777" w:rsidR="00DD464D" w:rsidRPr="00811EE0" w:rsidRDefault="006B5FD1" w:rsidP="003E457E">
      <w:pPr>
        <w:pStyle w:val="Prrafodelista"/>
        <w:numPr>
          <w:ilvl w:val="0"/>
          <w:numId w:val="12"/>
        </w:numPr>
        <w:spacing w:before="120" w:after="120" w:line="240" w:lineRule="auto"/>
        <w:ind w:left="426" w:hanging="426"/>
        <w:contextualSpacing w:val="0"/>
        <w:jc w:val="both"/>
        <w:rPr>
          <w:rFonts w:eastAsia="Arial" w:cs="Arial"/>
          <w:spacing w:val="2"/>
          <w:sz w:val="20"/>
          <w:szCs w:val="20"/>
        </w:rPr>
      </w:pPr>
      <w:r w:rsidRPr="00811EE0">
        <w:rPr>
          <w:rFonts w:eastAsia="Arial" w:cs="Arial"/>
          <w:spacing w:val="2"/>
          <w:sz w:val="20"/>
          <w:szCs w:val="20"/>
        </w:rPr>
        <w:t xml:space="preserve">Si la opinión contenida en el informe de auditoría sobre el conjunto completo de estados financieros de una entidad se modifica, o si el informe incluye un párrafo de énfasis o un párrafo sobre otras cuestiones, el auditor deberá determinar el efecto que pudiera tener en el informe de auditoría sobre un solo estado financiero o de un elemento, cuenta o partida específicos de un estado financiero. </w:t>
      </w:r>
    </w:p>
    <w:p w14:paraId="53CEACDA" w14:textId="77777777" w:rsidR="006B5FD1" w:rsidRPr="00811EE0" w:rsidRDefault="006B5FD1" w:rsidP="00DD464D">
      <w:pPr>
        <w:pStyle w:val="Prrafodelista"/>
        <w:spacing w:before="120" w:after="120" w:line="240" w:lineRule="auto"/>
        <w:ind w:left="426"/>
        <w:contextualSpacing w:val="0"/>
        <w:jc w:val="both"/>
        <w:rPr>
          <w:rFonts w:eastAsia="Arial" w:cs="Arial"/>
          <w:i/>
          <w:spacing w:val="2"/>
          <w:sz w:val="20"/>
          <w:szCs w:val="20"/>
        </w:rPr>
      </w:pPr>
      <w:r w:rsidRPr="00811EE0">
        <w:rPr>
          <w:rFonts w:eastAsia="Arial" w:cs="Arial"/>
          <w:spacing w:val="2"/>
          <w:sz w:val="20"/>
          <w:szCs w:val="20"/>
        </w:rPr>
        <w:t>Cuando se considere adecuado</w:t>
      </w:r>
      <w:r w:rsidR="00D4520D" w:rsidRPr="00811EE0">
        <w:rPr>
          <w:rStyle w:val="Refdenotaalpie"/>
          <w:rFonts w:eastAsia="Arial" w:cs="Arial"/>
          <w:spacing w:val="2"/>
          <w:sz w:val="20"/>
          <w:szCs w:val="20"/>
        </w:rPr>
        <w:footnoteReference w:id="1"/>
      </w:r>
      <w:r w:rsidRPr="00811EE0">
        <w:rPr>
          <w:rFonts w:eastAsia="Arial" w:cs="Arial"/>
          <w:spacing w:val="2"/>
          <w:sz w:val="20"/>
          <w:szCs w:val="20"/>
        </w:rPr>
        <w:t xml:space="preserve">, el auditor deberá modificar la opinión o incluir un párrafo de énfasis o un párrafo sobre otras cuestiones en el informe sobre un solo estado financiero o de un elemento, cuenta o partida específicos de un estado financiero. </w:t>
      </w:r>
      <w:r w:rsidRPr="00811EE0">
        <w:rPr>
          <w:rFonts w:eastAsia="Arial" w:cs="Arial"/>
          <w:i/>
          <w:spacing w:val="2"/>
          <w:sz w:val="18"/>
          <w:szCs w:val="20"/>
        </w:rPr>
        <w:t>(ISSAI-ES 200; P169) (NIA805; P14).</w:t>
      </w:r>
    </w:p>
    <w:p w14:paraId="53CEACDB" w14:textId="77777777" w:rsidR="006B5FD1" w:rsidRPr="00811EE0" w:rsidRDefault="006B5FD1" w:rsidP="00166FDF">
      <w:pPr>
        <w:pStyle w:val="Prrafodelista"/>
        <w:numPr>
          <w:ilvl w:val="0"/>
          <w:numId w:val="12"/>
        </w:numPr>
        <w:spacing w:before="120" w:after="120" w:line="240" w:lineRule="auto"/>
        <w:ind w:left="426" w:hanging="426"/>
        <w:contextualSpacing w:val="0"/>
        <w:jc w:val="both"/>
        <w:rPr>
          <w:rFonts w:eastAsia="Arial" w:cs="Arial"/>
          <w:spacing w:val="2"/>
          <w:sz w:val="20"/>
          <w:szCs w:val="20"/>
        </w:rPr>
      </w:pPr>
      <w:r w:rsidRPr="00811EE0">
        <w:rPr>
          <w:rFonts w:eastAsia="Arial" w:cs="Arial"/>
          <w:spacing w:val="2"/>
          <w:sz w:val="20"/>
          <w:szCs w:val="20"/>
        </w:rPr>
        <w:t xml:space="preserve">Si el auditor concluye que es necesario expresar una opinión </w:t>
      </w:r>
      <w:r w:rsidR="00FA2504" w:rsidRPr="00811EE0">
        <w:rPr>
          <w:rFonts w:eastAsia="Arial" w:cs="Arial"/>
          <w:spacing w:val="2"/>
          <w:sz w:val="20"/>
          <w:szCs w:val="20"/>
        </w:rPr>
        <w:t>desfavorable</w:t>
      </w:r>
      <w:r w:rsidR="00FA2504" w:rsidRPr="00811EE0">
        <w:rPr>
          <w:rStyle w:val="Refdenotaalpie"/>
          <w:rFonts w:eastAsia="Arial" w:cs="Arial"/>
          <w:spacing w:val="2"/>
          <w:sz w:val="20"/>
          <w:szCs w:val="20"/>
        </w:rPr>
        <w:footnoteReference w:id="2"/>
      </w:r>
      <w:r w:rsidR="00FA2504" w:rsidRPr="00811EE0">
        <w:rPr>
          <w:rFonts w:eastAsia="Arial" w:cs="Arial"/>
          <w:spacing w:val="2"/>
          <w:sz w:val="20"/>
          <w:szCs w:val="20"/>
        </w:rPr>
        <w:t xml:space="preserve"> </w:t>
      </w:r>
      <w:r w:rsidRPr="00811EE0">
        <w:rPr>
          <w:rFonts w:eastAsia="Arial" w:cs="Arial"/>
          <w:spacing w:val="2"/>
          <w:sz w:val="20"/>
          <w:szCs w:val="20"/>
        </w:rPr>
        <w:t>o abstenerse de dar una opinión sobre el conjunto completo de estados financieros de la entidad, el auditor no podrá emitir</w:t>
      </w:r>
      <w:r w:rsidR="00D4520D" w:rsidRPr="00811EE0">
        <w:rPr>
          <w:rFonts w:eastAsia="Arial" w:cs="Arial"/>
          <w:spacing w:val="2"/>
          <w:sz w:val="20"/>
          <w:szCs w:val="20"/>
        </w:rPr>
        <w:t>,</w:t>
      </w:r>
      <w:r w:rsidRPr="00811EE0">
        <w:rPr>
          <w:rFonts w:eastAsia="Arial" w:cs="Arial"/>
          <w:spacing w:val="2"/>
          <w:sz w:val="20"/>
          <w:szCs w:val="20"/>
        </w:rPr>
        <w:t xml:space="preserve"> </w:t>
      </w:r>
      <w:r w:rsidR="00D4520D" w:rsidRPr="00811EE0">
        <w:rPr>
          <w:rFonts w:eastAsia="Arial" w:cs="Arial"/>
          <w:spacing w:val="2"/>
          <w:sz w:val="20"/>
          <w:szCs w:val="20"/>
        </w:rPr>
        <w:t>en el mismo informe</w:t>
      </w:r>
      <w:r w:rsidR="00D4520D" w:rsidRPr="00811EE0">
        <w:rPr>
          <w:rStyle w:val="Refdenotaalpie"/>
          <w:rFonts w:eastAsia="Arial" w:cs="Arial"/>
          <w:spacing w:val="2"/>
          <w:sz w:val="20"/>
          <w:szCs w:val="20"/>
        </w:rPr>
        <w:footnoteReference w:id="3"/>
      </w:r>
      <w:r w:rsidR="00D4520D" w:rsidRPr="00811EE0">
        <w:rPr>
          <w:rFonts w:eastAsia="Arial" w:cs="Arial"/>
          <w:spacing w:val="2"/>
          <w:sz w:val="20"/>
          <w:szCs w:val="20"/>
        </w:rPr>
        <w:t xml:space="preserve">, </w:t>
      </w:r>
      <w:r w:rsidRPr="00811EE0">
        <w:rPr>
          <w:rFonts w:eastAsia="Arial" w:cs="Arial"/>
          <w:spacing w:val="2"/>
          <w:sz w:val="20"/>
          <w:szCs w:val="20"/>
        </w:rPr>
        <w:t>una opinión no modificada o sin salvedades sobre un solo estado financiero o de un elemento, cuenta o partida específicos de un estado financiero. Ello se justifica en que una opinión sin modificaciones o sin salvedades estaría en contradicción con la opinión adversa o la abstención de opinión de los estados financieros en su conjunto</w:t>
      </w:r>
      <w:r w:rsidRPr="00811EE0">
        <w:rPr>
          <w:rFonts w:eastAsia="Arial" w:cs="Arial"/>
          <w:spacing w:val="2"/>
          <w:sz w:val="18"/>
          <w:szCs w:val="20"/>
        </w:rPr>
        <w:t xml:space="preserve">. </w:t>
      </w:r>
      <w:r w:rsidRPr="00811EE0">
        <w:rPr>
          <w:rFonts w:eastAsia="Arial" w:cs="Arial"/>
          <w:i/>
          <w:spacing w:val="2"/>
          <w:sz w:val="18"/>
          <w:szCs w:val="20"/>
        </w:rPr>
        <w:t>(ISSAI-ES 200; P170), (NIA805; P15).</w:t>
      </w:r>
    </w:p>
    <w:p w14:paraId="53CEACDD" w14:textId="77777777" w:rsidR="00870B14" w:rsidRPr="00811EE0" w:rsidRDefault="00870B14" w:rsidP="00FA2504">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t xml:space="preserve">Si el auditor concluye que es necesario expresar una opinión desfavorable o denegar la opinión sobre el conjunto completo de estados financieros de la entidad, pero, en el contexto de una auditoría separada sobre </w:t>
      </w:r>
      <w:r w:rsidRPr="00811EE0">
        <w:rPr>
          <w:sz w:val="20"/>
          <w:szCs w:val="20"/>
          <w:u w:val="single"/>
        </w:rPr>
        <w:t>un elemento específico</w:t>
      </w:r>
      <w:r w:rsidRPr="00811EE0">
        <w:rPr>
          <w:sz w:val="20"/>
          <w:szCs w:val="20"/>
        </w:rPr>
        <w:t xml:space="preserve"> que está incluido en dichos estados financieros, el auditor considera, sin embargo, que resulta apropiado expresar una opinión no modificada sobre dicho elemento, sólo lo hará si: </w:t>
      </w:r>
      <w:r w:rsidRPr="00811EE0">
        <w:rPr>
          <w:i/>
          <w:sz w:val="18"/>
          <w:szCs w:val="20"/>
        </w:rPr>
        <w:t>(NIA805; P16).</w:t>
      </w:r>
    </w:p>
    <w:p w14:paraId="53CEACDE" w14:textId="77777777" w:rsidR="00870B14" w:rsidRPr="00811EE0" w:rsidRDefault="00870B14" w:rsidP="00E410D8">
      <w:pPr>
        <w:widowControl w:val="0"/>
        <w:numPr>
          <w:ilvl w:val="1"/>
          <w:numId w:val="5"/>
        </w:numPr>
        <w:overflowPunct w:val="0"/>
        <w:autoSpaceDE w:val="0"/>
        <w:autoSpaceDN w:val="0"/>
        <w:adjustRightInd w:val="0"/>
        <w:spacing w:before="120" w:after="120" w:line="240" w:lineRule="auto"/>
        <w:ind w:left="980" w:hanging="355"/>
        <w:jc w:val="both"/>
        <w:rPr>
          <w:rFonts w:cs="Times New Roman"/>
          <w:sz w:val="20"/>
          <w:szCs w:val="20"/>
        </w:rPr>
      </w:pPr>
      <w:r w:rsidRPr="00811EE0">
        <w:rPr>
          <w:rFonts w:cs="Times New Roman"/>
          <w:sz w:val="20"/>
          <w:szCs w:val="20"/>
        </w:rPr>
        <w:t xml:space="preserve">las disposiciones legales o reglamentarias no lo prohíben; </w:t>
      </w:r>
    </w:p>
    <w:p w14:paraId="53CEACDF" w14:textId="77777777" w:rsidR="00870B14" w:rsidRPr="00811EE0" w:rsidRDefault="00870B14" w:rsidP="00E410D8">
      <w:pPr>
        <w:widowControl w:val="0"/>
        <w:numPr>
          <w:ilvl w:val="1"/>
          <w:numId w:val="5"/>
        </w:numPr>
        <w:overflowPunct w:val="0"/>
        <w:autoSpaceDE w:val="0"/>
        <w:autoSpaceDN w:val="0"/>
        <w:adjustRightInd w:val="0"/>
        <w:spacing w:before="120" w:after="120" w:line="240" w:lineRule="auto"/>
        <w:ind w:left="980" w:right="20" w:hanging="355"/>
        <w:jc w:val="both"/>
        <w:rPr>
          <w:rFonts w:cs="Times New Roman"/>
          <w:sz w:val="20"/>
          <w:szCs w:val="20"/>
        </w:rPr>
      </w:pPr>
      <w:r w:rsidRPr="00811EE0">
        <w:rPr>
          <w:rFonts w:cs="Times New Roman"/>
          <w:sz w:val="20"/>
          <w:szCs w:val="20"/>
        </w:rPr>
        <w:t xml:space="preserve">la opinión se expresa en un informe de auditoría que no se publica </w:t>
      </w:r>
      <w:proofErr w:type="gramStart"/>
      <w:r w:rsidRPr="00811EE0">
        <w:rPr>
          <w:rFonts w:cs="Times New Roman"/>
          <w:sz w:val="20"/>
          <w:szCs w:val="20"/>
        </w:rPr>
        <w:t>conjuntamente con</w:t>
      </w:r>
      <w:proofErr w:type="gramEnd"/>
      <w:r w:rsidRPr="00811EE0">
        <w:rPr>
          <w:rFonts w:cs="Times New Roman"/>
          <w:sz w:val="20"/>
          <w:szCs w:val="20"/>
        </w:rPr>
        <w:t xml:space="preserve"> el informe de auditoría que contiene la opinión desfavorable o la denegación de opinión; y </w:t>
      </w:r>
    </w:p>
    <w:p w14:paraId="53CEACE0" w14:textId="77777777" w:rsidR="00870B14" w:rsidRPr="00811EE0" w:rsidRDefault="00870B14" w:rsidP="00E410D8">
      <w:pPr>
        <w:widowControl w:val="0"/>
        <w:numPr>
          <w:ilvl w:val="1"/>
          <w:numId w:val="5"/>
        </w:numPr>
        <w:overflowPunct w:val="0"/>
        <w:autoSpaceDE w:val="0"/>
        <w:autoSpaceDN w:val="0"/>
        <w:adjustRightInd w:val="0"/>
        <w:spacing w:before="120" w:after="120" w:line="240" w:lineRule="auto"/>
        <w:ind w:left="980" w:right="20" w:hanging="355"/>
        <w:jc w:val="both"/>
        <w:rPr>
          <w:rFonts w:cs="Times New Roman"/>
          <w:sz w:val="20"/>
          <w:szCs w:val="20"/>
        </w:rPr>
      </w:pPr>
      <w:r w:rsidRPr="00811EE0">
        <w:rPr>
          <w:rFonts w:cs="Times New Roman"/>
          <w:sz w:val="20"/>
          <w:szCs w:val="20"/>
        </w:rPr>
        <w:t xml:space="preserve">el elemento específico no constituye una parte importante del conjunto completo de estados financieros de la entidad. </w:t>
      </w:r>
    </w:p>
    <w:p w14:paraId="53CEACE1" w14:textId="77777777" w:rsidR="00870B14" w:rsidRPr="00811EE0" w:rsidRDefault="00870B14" w:rsidP="00FA2504">
      <w:pPr>
        <w:pStyle w:val="Prrafodelista"/>
        <w:numPr>
          <w:ilvl w:val="0"/>
          <w:numId w:val="12"/>
        </w:numPr>
        <w:autoSpaceDE w:val="0"/>
        <w:autoSpaceDN w:val="0"/>
        <w:adjustRightInd w:val="0"/>
        <w:spacing w:before="120" w:after="120" w:line="240" w:lineRule="auto"/>
        <w:ind w:left="425" w:hanging="426"/>
        <w:contextualSpacing w:val="0"/>
        <w:jc w:val="both"/>
        <w:rPr>
          <w:sz w:val="20"/>
          <w:szCs w:val="20"/>
        </w:rPr>
      </w:pPr>
      <w:r w:rsidRPr="00811EE0">
        <w:rPr>
          <w:sz w:val="20"/>
          <w:szCs w:val="20"/>
        </w:rPr>
        <w:lastRenderedPageBreak/>
        <w:t xml:space="preserve">El auditor no expresará una opinión no modificada </w:t>
      </w:r>
      <w:r w:rsidRPr="00811EE0">
        <w:rPr>
          <w:sz w:val="20"/>
          <w:szCs w:val="20"/>
          <w:u w:val="single"/>
        </w:rPr>
        <w:t>sobre un estado financiero</w:t>
      </w:r>
      <w:r w:rsidRPr="00811EE0">
        <w:rPr>
          <w:sz w:val="20"/>
          <w:szCs w:val="20"/>
        </w:rPr>
        <w:t xml:space="preserve"> que forme parte de un conjunto completo de estados financieros si ha expresado una opinión desfavorable o ha denegado la opinión sobre los estados financieros en su conjunto. Esto es así incluso cuando no se publique el informe de auditoría sobre un solo estado financiero </w:t>
      </w:r>
      <w:proofErr w:type="gramStart"/>
      <w:r w:rsidRPr="00811EE0">
        <w:rPr>
          <w:sz w:val="20"/>
          <w:szCs w:val="20"/>
        </w:rPr>
        <w:t>conjuntamente con</w:t>
      </w:r>
      <w:proofErr w:type="gramEnd"/>
      <w:r w:rsidRPr="00811EE0">
        <w:rPr>
          <w:sz w:val="20"/>
          <w:szCs w:val="20"/>
        </w:rPr>
        <w:t xml:space="preserve"> el informe de auditoría que contiene la opinión desfavorable o la denegación de opinión. Esto se debe a que se considera que un solo estado financiero constituye una parte importante de dichos estados financieros. </w:t>
      </w:r>
      <w:r w:rsidRPr="00811EE0">
        <w:rPr>
          <w:i/>
          <w:sz w:val="18"/>
          <w:szCs w:val="20"/>
        </w:rPr>
        <w:t>(NIA805; P17).</w:t>
      </w:r>
    </w:p>
    <w:p w14:paraId="53CEACE2" w14:textId="77777777" w:rsidR="006617A2" w:rsidRPr="00811EE0" w:rsidRDefault="006617A2" w:rsidP="006617A2">
      <w:pPr>
        <w:pStyle w:val="Textodebloque"/>
        <w:tabs>
          <w:tab w:val="clear" w:pos="1134"/>
          <w:tab w:val="left" w:pos="426"/>
        </w:tabs>
        <w:spacing w:before="240" w:after="120"/>
        <w:ind w:left="0" w:right="6" w:firstLine="0"/>
        <w:rPr>
          <w:rFonts w:asciiTheme="minorHAnsi" w:hAnsiTheme="minorHAnsi" w:cs="Arial"/>
          <w:b/>
          <w:iCs/>
          <w:sz w:val="20"/>
        </w:rPr>
      </w:pPr>
      <w:r w:rsidRPr="00811EE0">
        <w:rPr>
          <w:rFonts w:asciiTheme="minorHAnsi" w:hAnsiTheme="minorHAnsi" w:cs="Arial"/>
          <w:b/>
          <w:iCs/>
          <w:sz w:val="20"/>
        </w:rPr>
        <w:t>XI</w:t>
      </w:r>
      <w:r w:rsidRPr="00811EE0">
        <w:rPr>
          <w:rFonts w:asciiTheme="minorHAnsi" w:hAnsiTheme="minorHAnsi" w:cs="Arial"/>
          <w:b/>
          <w:iCs/>
          <w:sz w:val="20"/>
        </w:rPr>
        <w:tab/>
        <w:t>Modelos de informes</w:t>
      </w:r>
    </w:p>
    <w:p w14:paraId="53CEACE3" w14:textId="5ECCB782" w:rsidR="006617A2" w:rsidRPr="00811EE0" w:rsidRDefault="006617A2" w:rsidP="006617A2">
      <w:pPr>
        <w:pStyle w:val="Prrafodelista"/>
        <w:numPr>
          <w:ilvl w:val="0"/>
          <w:numId w:val="12"/>
        </w:numPr>
        <w:tabs>
          <w:tab w:val="right" w:pos="8789"/>
        </w:tabs>
        <w:spacing w:before="120" w:after="120" w:line="240" w:lineRule="auto"/>
        <w:ind w:left="426" w:right="6" w:hanging="426"/>
        <w:contextualSpacing w:val="0"/>
        <w:jc w:val="both"/>
        <w:rPr>
          <w:sz w:val="20"/>
        </w:rPr>
      </w:pPr>
      <w:r w:rsidRPr="00811EE0">
        <w:rPr>
          <w:sz w:val="20"/>
        </w:rPr>
        <w:t>En el anexo se ofrecen ejemplos ilustrativos aplicables en las auditorías de l</w:t>
      </w:r>
      <w:r w:rsidR="001D50D2" w:rsidRPr="00811EE0">
        <w:rPr>
          <w:sz w:val="20"/>
        </w:rPr>
        <w:t>o</w:t>
      </w:r>
      <w:r w:rsidRPr="00811EE0">
        <w:rPr>
          <w:sz w:val="20"/>
        </w:rPr>
        <w:t xml:space="preserve">s </w:t>
      </w:r>
      <w:r w:rsidR="001D50D2" w:rsidRPr="00811EE0">
        <w:rPr>
          <w:sz w:val="20"/>
        </w:rPr>
        <w:t>O</w:t>
      </w:r>
      <w:r w:rsidRPr="00811EE0">
        <w:rPr>
          <w:sz w:val="20"/>
        </w:rPr>
        <w:t>CEX.</w:t>
      </w:r>
      <w:r w:rsidRPr="00811EE0">
        <w:rPr>
          <w:sz w:val="20"/>
        </w:rPr>
        <w:tab/>
      </w:r>
    </w:p>
    <w:p w14:paraId="6EA8DB87" w14:textId="5E39D8E8" w:rsidR="004D16AD" w:rsidRPr="00811EE0" w:rsidRDefault="004D16AD" w:rsidP="004D16AD">
      <w:pPr>
        <w:tabs>
          <w:tab w:val="right" w:pos="8789"/>
        </w:tabs>
        <w:spacing w:before="120" w:after="120" w:line="240" w:lineRule="auto"/>
        <w:ind w:right="6"/>
        <w:jc w:val="both"/>
        <w:rPr>
          <w:sz w:val="20"/>
        </w:rPr>
      </w:pPr>
    </w:p>
    <w:p w14:paraId="53CEACE4" w14:textId="77777777" w:rsidR="00870B14" w:rsidRPr="00811EE0" w:rsidRDefault="00870B14" w:rsidP="006617A2">
      <w:pPr>
        <w:autoSpaceDE w:val="0"/>
        <w:autoSpaceDN w:val="0"/>
        <w:adjustRightInd w:val="0"/>
        <w:spacing w:before="120" w:after="120" w:line="240" w:lineRule="auto"/>
        <w:jc w:val="both"/>
        <w:rPr>
          <w:rFonts w:cs="Times New Roman"/>
          <w:sz w:val="20"/>
          <w:szCs w:val="20"/>
        </w:rPr>
      </w:pPr>
      <w:r w:rsidRPr="00811EE0">
        <w:rPr>
          <w:rFonts w:cs="Times New Roman"/>
          <w:sz w:val="20"/>
          <w:szCs w:val="20"/>
        </w:rPr>
        <w:br w:type="page"/>
      </w:r>
    </w:p>
    <w:p w14:paraId="53CEACE5" w14:textId="77777777" w:rsidR="008410DA" w:rsidRPr="00811EE0" w:rsidRDefault="008410DA" w:rsidP="008410DA">
      <w:pPr>
        <w:widowControl w:val="0"/>
        <w:overflowPunct w:val="0"/>
        <w:autoSpaceDE w:val="0"/>
        <w:autoSpaceDN w:val="0"/>
        <w:adjustRightInd w:val="0"/>
        <w:spacing w:before="120" w:after="120" w:line="240" w:lineRule="auto"/>
        <w:ind w:left="1134" w:right="142" w:hanging="1134"/>
        <w:jc w:val="center"/>
        <w:rPr>
          <w:rFonts w:cs="Times New Roman"/>
          <w:b/>
          <w:bCs/>
          <w:sz w:val="20"/>
          <w:szCs w:val="20"/>
        </w:rPr>
      </w:pPr>
      <w:r w:rsidRPr="00811EE0">
        <w:rPr>
          <w:rFonts w:cs="Times New Roman"/>
          <w:b/>
          <w:bCs/>
          <w:sz w:val="20"/>
          <w:szCs w:val="20"/>
        </w:rPr>
        <w:lastRenderedPageBreak/>
        <w:t>Anexo</w:t>
      </w:r>
    </w:p>
    <w:tbl>
      <w:tblPr>
        <w:tblW w:w="9199"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8"/>
        <w:gridCol w:w="9173"/>
        <w:gridCol w:w="18"/>
      </w:tblGrid>
      <w:tr w:rsidR="008410DA" w:rsidRPr="00811EE0" w14:paraId="53CEACE9" w14:textId="77777777" w:rsidTr="00955D5D">
        <w:trPr>
          <w:gridBefore w:val="1"/>
          <w:wBefore w:w="8" w:type="dxa"/>
          <w:trHeight w:val="284"/>
          <w:tblHeader/>
          <w:jc w:val="center"/>
        </w:trPr>
        <w:tc>
          <w:tcPr>
            <w:tcW w:w="9191" w:type="dxa"/>
            <w:gridSpan w:val="2"/>
            <w:shd w:val="clear" w:color="auto" w:fill="FFFF99"/>
            <w:vAlign w:val="center"/>
          </w:tcPr>
          <w:p w14:paraId="53CEACE6" w14:textId="77777777" w:rsidR="008410DA" w:rsidRPr="00811EE0" w:rsidRDefault="008410DA" w:rsidP="004109C7">
            <w:pPr>
              <w:autoSpaceDE w:val="0"/>
              <w:autoSpaceDN w:val="0"/>
              <w:adjustRightInd w:val="0"/>
              <w:spacing w:before="60" w:after="60" w:line="240" w:lineRule="auto"/>
              <w:ind w:left="-131" w:right="-85"/>
              <w:jc w:val="center"/>
              <w:rPr>
                <w:rFonts w:ascii="Calibri" w:hAnsi="Calibri"/>
                <w:sz w:val="20"/>
                <w:szCs w:val="20"/>
                <w:lang w:val="es"/>
              </w:rPr>
            </w:pPr>
            <w:r w:rsidRPr="00811EE0">
              <w:rPr>
                <w:rFonts w:ascii="Calibri" w:hAnsi="Calibri"/>
                <w:sz w:val="20"/>
                <w:szCs w:val="20"/>
                <w:lang w:val="es"/>
              </w:rPr>
              <w:t>Ejemplo 1</w:t>
            </w:r>
          </w:p>
          <w:p w14:paraId="53CEACE7" w14:textId="77777777" w:rsidR="008410DA" w:rsidRPr="00811EE0" w:rsidRDefault="008410DA" w:rsidP="004109C7">
            <w:pPr>
              <w:autoSpaceDE w:val="0"/>
              <w:autoSpaceDN w:val="0"/>
              <w:adjustRightInd w:val="0"/>
              <w:spacing w:before="60" w:after="60" w:line="240" w:lineRule="auto"/>
              <w:ind w:left="-131" w:right="-85"/>
              <w:jc w:val="center"/>
              <w:rPr>
                <w:rFonts w:ascii="Calibri" w:hAnsi="Calibri"/>
                <w:b/>
                <w:sz w:val="20"/>
                <w:szCs w:val="20"/>
                <w:lang w:val="es"/>
              </w:rPr>
            </w:pPr>
            <w:r w:rsidRPr="00811EE0">
              <w:rPr>
                <w:rFonts w:ascii="Calibri" w:hAnsi="Calibri"/>
                <w:b/>
                <w:sz w:val="20"/>
                <w:szCs w:val="20"/>
                <w:lang w:val="es"/>
              </w:rPr>
              <w:t>Informe de auditoría sobre un solo estado financiero</w:t>
            </w:r>
          </w:p>
          <w:p w14:paraId="53CEACE8" w14:textId="77777777" w:rsidR="008410DA" w:rsidRPr="00811EE0" w:rsidRDefault="008410DA" w:rsidP="004109C7">
            <w:pPr>
              <w:autoSpaceDE w:val="0"/>
              <w:autoSpaceDN w:val="0"/>
              <w:adjustRightInd w:val="0"/>
              <w:spacing w:before="60" w:after="60" w:line="240" w:lineRule="auto"/>
              <w:ind w:left="-131" w:right="-85"/>
              <w:jc w:val="center"/>
              <w:rPr>
                <w:rFonts w:ascii="Calibri" w:hAnsi="Calibri"/>
                <w:sz w:val="20"/>
                <w:szCs w:val="20"/>
                <w:lang w:val="es"/>
              </w:rPr>
            </w:pPr>
            <w:r w:rsidRPr="00811EE0">
              <w:rPr>
                <w:rFonts w:ascii="Calibri" w:hAnsi="Calibri"/>
                <w:sz w:val="20"/>
                <w:szCs w:val="20"/>
                <w:lang w:val="es"/>
              </w:rPr>
              <w:t xml:space="preserve">Modelo </w:t>
            </w:r>
            <w:r w:rsidRPr="00811EE0">
              <w:rPr>
                <w:rFonts w:ascii="Calibri" w:hAnsi="Calibri" w:cs="Calibri"/>
                <w:bCs/>
                <w:sz w:val="20"/>
                <w:szCs w:val="20"/>
                <w:lang w:val="es"/>
              </w:rPr>
              <w:t xml:space="preserve">de </w:t>
            </w:r>
            <w:r w:rsidRPr="00811EE0">
              <w:rPr>
                <w:rFonts w:ascii="Calibri" w:hAnsi="Calibri"/>
                <w:sz w:val="20"/>
                <w:szCs w:val="20"/>
                <w:lang w:val="es"/>
              </w:rPr>
              <w:t>Sociedad Mercantil</w:t>
            </w:r>
            <w:r w:rsidRPr="00811EE0">
              <w:rPr>
                <w:rFonts w:ascii="Calibri" w:hAnsi="Calibri" w:cs="Calibri"/>
                <w:bCs/>
                <w:sz w:val="20"/>
                <w:szCs w:val="20"/>
                <w:lang w:val="es"/>
              </w:rPr>
              <w:t xml:space="preserve"> Pública</w:t>
            </w:r>
          </w:p>
        </w:tc>
      </w:tr>
      <w:tr w:rsidR="008410DA" w:rsidRPr="00811EE0" w14:paraId="53CEACED" w14:textId="77777777" w:rsidTr="00955D5D">
        <w:trPr>
          <w:gridBefore w:val="1"/>
          <w:wBefore w:w="8" w:type="dxa"/>
          <w:trHeight w:val="284"/>
          <w:jc w:val="center"/>
        </w:trPr>
        <w:tc>
          <w:tcPr>
            <w:tcW w:w="9191" w:type="dxa"/>
            <w:gridSpan w:val="2"/>
            <w:shd w:val="clear" w:color="auto" w:fill="DEEAF6" w:themeFill="accent1" w:themeFillTint="33"/>
          </w:tcPr>
          <w:p w14:paraId="53CEACEA" w14:textId="77777777" w:rsidR="008410DA" w:rsidRPr="00811EE0" w:rsidRDefault="008410DA" w:rsidP="004109C7">
            <w:pPr>
              <w:autoSpaceDE w:val="0"/>
              <w:autoSpaceDN w:val="0"/>
              <w:adjustRightInd w:val="0"/>
              <w:spacing w:before="120" w:after="120" w:line="240" w:lineRule="auto"/>
              <w:ind w:left="441" w:hanging="425"/>
              <w:jc w:val="both"/>
              <w:rPr>
                <w:rFonts w:ascii="Calibri" w:hAnsi="Calibri"/>
                <w:sz w:val="20"/>
                <w:szCs w:val="20"/>
                <w:lang w:val="es"/>
              </w:rPr>
            </w:pPr>
            <w:r w:rsidRPr="00811EE0">
              <w:rPr>
                <w:rFonts w:ascii="Calibri" w:hAnsi="Calibri"/>
                <w:sz w:val="20"/>
                <w:szCs w:val="20"/>
                <w:lang w:val="es"/>
              </w:rPr>
              <w:t xml:space="preserve">Las </w:t>
            </w:r>
            <w:r w:rsidRPr="00811EE0">
              <w:rPr>
                <w:rFonts w:ascii="Calibri" w:hAnsi="Calibri"/>
                <w:b/>
                <w:sz w:val="20"/>
                <w:szCs w:val="20"/>
                <w:lang w:val="es"/>
              </w:rPr>
              <w:t>circunstancias</w:t>
            </w:r>
            <w:r w:rsidRPr="00811EE0">
              <w:rPr>
                <w:rFonts w:ascii="Calibri" w:hAnsi="Calibri"/>
                <w:sz w:val="20"/>
                <w:szCs w:val="20"/>
                <w:lang w:val="es"/>
              </w:rPr>
              <w:t xml:space="preserve"> son, entre otras:</w:t>
            </w:r>
          </w:p>
          <w:p w14:paraId="53CEACEB" w14:textId="77777777" w:rsidR="008410DA" w:rsidRPr="00811EE0" w:rsidRDefault="008410DA" w:rsidP="008410DA">
            <w:pPr>
              <w:numPr>
                <w:ilvl w:val="0"/>
                <w:numId w:val="14"/>
              </w:numPr>
              <w:autoSpaceDE w:val="0"/>
              <w:autoSpaceDN w:val="0"/>
              <w:adjustRightInd w:val="0"/>
              <w:spacing w:before="60" w:after="60" w:line="240" w:lineRule="auto"/>
              <w:jc w:val="both"/>
              <w:rPr>
                <w:rFonts w:ascii="Calibri" w:hAnsi="Calibri"/>
                <w:sz w:val="20"/>
                <w:szCs w:val="20"/>
                <w:lang w:val="es"/>
              </w:rPr>
            </w:pPr>
            <w:r w:rsidRPr="00811EE0">
              <w:rPr>
                <w:rFonts w:ascii="Calibri" w:hAnsi="Calibri"/>
                <w:sz w:val="20"/>
                <w:szCs w:val="20"/>
                <w:lang w:val="es"/>
              </w:rPr>
              <w:t xml:space="preserve">Auditoría de un balance de situación (es decir, un solo estado financiero). </w:t>
            </w:r>
          </w:p>
          <w:p w14:paraId="53CEACEC" w14:textId="5477ED13" w:rsidR="008410DA" w:rsidRPr="00811EE0" w:rsidRDefault="008410DA" w:rsidP="008410DA">
            <w:pPr>
              <w:numPr>
                <w:ilvl w:val="0"/>
                <w:numId w:val="14"/>
              </w:numPr>
              <w:autoSpaceDE w:val="0"/>
              <w:autoSpaceDN w:val="0"/>
              <w:adjustRightInd w:val="0"/>
              <w:spacing w:before="60" w:after="60" w:line="240" w:lineRule="auto"/>
              <w:jc w:val="both"/>
              <w:rPr>
                <w:rFonts w:ascii="Calibri" w:hAnsi="Calibri"/>
                <w:sz w:val="20"/>
                <w:szCs w:val="20"/>
                <w:lang w:val="es"/>
              </w:rPr>
            </w:pPr>
            <w:r w:rsidRPr="00811EE0">
              <w:rPr>
                <w:rFonts w:ascii="Calibri" w:hAnsi="Calibri"/>
                <w:sz w:val="20"/>
                <w:szCs w:val="20"/>
                <w:lang w:val="es"/>
              </w:rPr>
              <w:t xml:space="preserve">El balance de situación ha sido </w:t>
            </w:r>
            <w:r w:rsidR="009B201C" w:rsidRPr="00811EE0">
              <w:rPr>
                <w:rFonts w:ascii="Calibri" w:hAnsi="Calibri"/>
                <w:sz w:val="20"/>
                <w:szCs w:val="20"/>
                <w:lang w:val="es"/>
              </w:rPr>
              <w:t>formulado por los administradores</w:t>
            </w:r>
            <w:r w:rsidRPr="00811EE0">
              <w:rPr>
                <w:rFonts w:ascii="Calibri" w:hAnsi="Calibri"/>
                <w:sz w:val="20"/>
                <w:szCs w:val="20"/>
                <w:lang w:val="es"/>
              </w:rPr>
              <w:t xml:space="preserve"> de la entidad, de conformidad con el PGC.</w:t>
            </w:r>
          </w:p>
        </w:tc>
      </w:tr>
      <w:tr w:rsidR="008410DA" w:rsidRPr="00811EE0" w14:paraId="53CEACF1" w14:textId="77777777" w:rsidTr="00955D5D">
        <w:trPr>
          <w:gridBefore w:val="1"/>
          <w:wBefore w:w="8" w:type="dxa"/>
          <w:trHeight w:val="284"/>
          <w:jc w:val="center"/>
        </w:trPr>
        <w:tc>
          <w:tcPr>
            <w:tcW w:w="9191" w:type="dxa"/>
            <w:gridSpan w:val="2"/>
            <w:shd w:val="clear" w:color="000000" w:fill="FFFFFF"/>
          </w:tcPr>
          <w:p w14:paraId="53CEACEE" w14:textId="77777777" w:rsidR="008410DA" w:rsidRPr="00811EE0" w:rsidRDefault="008410DA" w:rsidP="008410DA">
            <w:pPr>
              <w:autoSpaceDE w:val="0"/>
              <w:autoSpaceDN w:val="0"/>
              <w:adjustRightInd w:val="0"/>
              <w:spacing w:before="120" w:after="120" w:line="240" w:lineRule="auto"/>
              <w:ind w:left="441" w:hanging="425"/>
              <w:jc w:val="center"/>
              <w:rPr>
                <w:rFonts w:ascii="Calibri" w:hAnsi="Calibri"/>
                <w:b/>
                <w:sz w:val="20"/>
                <w:szCs w:val="20"/>
                <w:lang w:val="es"/>
              </w:rPr>
            </w:pPr>
            <w:r w:rsidRPr="00811EE0">
              <w:rPr>
                <w:rFonts w:ascii="Calibri" w:hAnsi="Calibri"/>
                <w:b/>
                <w:sz w:val="20"/>
                <w:szCs w:val="20"/>
                <w:lang w:val="es"/>
              </w:rPr>
              <w:t>INFORME DE FISCALIZACIÓN</w:t>
            </w:r>
          </w:p>
          <w:p w14:paraId="53CEACEF" w14:textId="77777777" w:rsidR="008410DA" w:rsidRPr="00811EE0" w:rsidRDefault="008410DA" w:rsidP="004109C7">
            <w:pPr>
              <w:autoSpaceDE w:val="0"/>
              <w:autoSpaceDN w:val="0"/>
              <w:adjustRightInd w:val="0"/>
              <w:spacing w:before="60" w:after="60" w:line="240" w:lineRule="auto"/>
              <w:ind w:left="17"/>
              <w:jc w:val="both"/>
              <w:rPr>
                <w:rFonts w:ascii="Calibri" w:hAnsi="Calibri" w:cs="Calibri"/>
                <w:sz w:val="20"/>
                <w:szCs w:val="20"/>
                <w:lang w:val="es"/>
              </w:rPr>
            </w:pPr>
            <w:r w:rsidRPr="00811EE0">
              <w:rPr>
                <w:rFonts w:ascii="Calibri" w:hAnsi="Calibri"/>
                <w:sz w:val="20"/>
                <w:szCs w:val="20"/>
                <w:lang w:val="es"/>
              </w:rPr>
              <w:t xml:space="preserve">A los accionistas de </w:t>
            </w:r>
            <w:proofErr w:type="spellStart"/>
            <w:r w:rsidRPr="00811EE0">
              <w:rPr>
                <w:rFonts w:ascii="Calibri" w:hAnsi="Calibri" w:cs="Calibri"/>
                <w:sz w:val="20"/>
                <w:szCs w:val="20"/>
                <w:lang w:val="es"/>
              </w:rPr>
              <w:t>xxx</w:t>
            </w:r>
            <w:proofErr w:type="spellEnd"/>
            <w:r w:rsidRPr="00811EE0">
              <w:rPr>
                <w:rFonts w:ascii="Calibri" w:hAnsi="Calibri" w:cs="Calibri"/>
                <w:sz w:val="20"/>
                <w:szCs w:val="20"/>
                <w:lang w:val="es"/>
              </w:rPr>
              <w:t xml:space="preserve"> </w:t>
            </w:r>
          </w:p>
          <w:p w14:paraId="53CEACF0" w14:textId="77777777" w:rsidR="008410DA" w:rsidRPr="00811EE0" w:rsidRDefault="008410DA" w:rsidP="00955D5D">
            <w:pPr>
              <w:autoSpaceDE w:val="0"/>
              <w:autoSpaceDN w:val="0"/>
              <w:adjustRightInd w:val="0"/>
              <w:spacing w:before="60" w:after="60" w:line="240" w:lineRule="auto"/>
              <w:ind w:left="17"/>
              <w:jc w:val="both"/>
              <w:rPr>
                <w:rFonts w:ascii="Calibri" w:hAnsi="Calibri" w:cs="Calibri"/>
                <w:sz w:val="20"/>
                <w:szCs w:val="20"/>
                <w:lang w:val="es"/>
              </w:rPr>
            </w:pPr>
            <w:r w:rsidRPr="00811EE0">
              <w:rPr>
                <w:rFonts w:ascii="Calibri" w:hAnsi="Calibri"/>
                <w:sz w:val="20"/>
                <w:szCs w:val="20"/>
                <w:lang w:val="es"/>
              </w:rPr>
              <w:t>A</w:t>
            </w:r>
            <w:r w:rsidRPr="00811EE0">
              <w:rPr>
                <w:rFonts w:ascii="Calibri" w:hAnsi="Calibri" w:cs="Calibri"/>
                <w:sz w:val="20"/>
                <w:szCs w:val="20"/>
                <w:lang w:val="es"/>
              </w:rPr>
              <w:t xml:space="preserve"> la entidad a la que está adscrita la sociedad</w:t>
            </w:r>
          </w:p>
        </w:tc>
      </w:tr>
      <w:tr w:rsidR="00480C1F" w:rsidRPr="00811EE0" w14:paraId="608955CA" w14:textId="77777777" w:rsidTr="008B71B3">
        <w:trPr>
          <w:gridBefore w:val="1"/>
          <w:wBefore w:w="8" w:type="dxa"/>
          <w:trHeight w:val="284"/>
          <w:jc w:val="center"/>
        </w:trPr>
        <w:tc>
          <w:tcPr>
            <w:tcW w:w="9191" w:type="dxa"/>
            <w:gridSpan w:val="2"/>
            <w:shd w:val="clear" w:color="000000" w:fill="FFFFFF"/>
          </w:tcPr>
          <w:p w14:paraId="09C2C496" w14:textId="04E7759A" w:rsidR="00480C1F" w:rsidRPr="00811EE0" w:rsidRDefault="00480C1F" w:rsidP="008B71B3">
            <w:pPr>
              <w:tabs>
                <w:tab w:val="left" w:pos="440"/>
              </w:tabs>
              <w:autoSpaceDE w:val="0"/>
              <w:autoSpaceDN w:val="0"/>
              <w:adjustRightInd w:val="0"/>
              <w:spacing w:before="120" w:after="120" w:line="240" w:lineRule="auto"/>
              <w:rPr>
                <w:rFonts w:ascii="Calibri" w:hAnsi="Calibri" w:cs="Calibri"/>
                <w:b/>
                <w:bCs/>
                <w:iCs/>
                <w:color w:val="000000"/>
                <w:sz w:val="20"/>
                <w:szCs w:val="20"/>
                <w:lang w:val="es"/>
              </w:rPr>
            </w:pPr>
            <w:r w:rsidRPr="00811EE0">
              <w:rPr>
                <w:rFonts w:ascii="Calibri" w:hAnsi="Calibri"/>
                <w:b/>
                <w:sz w:val="20"/>
                <w:szCs w:val="20"/>
                <w:lang w:val="es"/>
              </w:rPr>
              <w:t>1</w:t>
            </w:r>
            <w:r w:rsidRPr="00811EE0">
              <w:rPr>
                <w:b/>
                <w:sz w:val="20"/>
                <w:szCs w:val="20"/>
              </w:rPr>
              <w:tab/>
            </w:r>
            <w:proofErr w:type="gramStart"/>
            <w:r w:rsidRPr="00811EE0">
              <w:rPr>
                <w:rFonts w:ascii="Calibri" w:hAnsi="Calibri" w:cs="Calibri"/>
                <w:b/>
                <w:bCs/>
                <w:iCs/>
                <w:color w:val="000000"/>
                <w:sz w:val="20"/>
                <w:szCs w:val="20"/>
                <w:lang w:val="es"/>
              </w:rPr>
              <w:t>Opinión</w:t>
            </w:r>
            <w:proofErr w:type="gramEnd"/>
          </w:p>
          <w:p w14:paraId="6DC65F85" w14:textId="09FF9AF1" w:rsidR="00BB2C5E" w:rsidRPr="00811EE0" w:rsidRDefault="00BB2C5E" w:rsidP="00BB2C5E">
            <w:pPr>
              <w:autoSpaceDE w:val="0"/>
              <w:autoSpaceDN w:val="0"/>
              <w:adjustRightInd w:val="0"/>
              <w:spacing w:before="120" w:after="120" w:line="240" w:lineRule="auto"/>
              <w:jc w:val="both"/>
              <w:rPr>
                <w:rFonts w:cstheme="minorHAnsi"/>
                <w:color w:val="000000"/>
                <w:sz w:val="20"/>
                <w:szCs w:val="20"/>
                <w:lang w:val="es"/>
              </w:rPr>
            </w:pPr>
            <w:r w:rsidRPr="00811EE0">
              <w:rPr>
                <w:rFonts w:cstheme="minorHAnsi"/>
                <w:sz w:val="20"/>
                <w:szCs w:val="20"/>
                <w:u w:val="single"/>
                <w:lang w:val="es"/>
              </w:rPr>
              <w:t>El OCEX</w:t>
            </w:r>
            <w:r w:rsidRPr="00811EE0">
              <w:rPr>
                <w:rFonts w:cstheme="minorHAnsi"/>
                <w:sz w:val="20"/>
                <w:szCs w:val="20"/>
                <w:lang w:val="es"/>
              </w:rPr>
              <w:t xml:space="preserve">, en virtud de lo dispuesto en su Ley de creación, y conforme a lo previsto en el Programa Anual de Fiscalización, ha auditado </w:t>
            </w:r>
            <w:r w:rsidRPr="00811EE0">
              <w:rPr>
                <w:rFonts w:cs="Times New Roman"/>
                <w:color w:val="000000"/>
                <w:sz w:val="20"/>
                <w:szCs w:val="20"/>
              </w:rPr>
              <w:t>el balance de situación adjunto de la sociedad ABC, a 31 de diciembre de 20X1, así como un resumen de las políticas contables significativas y otra información explicativa (denominados conjuntamente “el estado financiero”).</w:t>
            </w:r>
          </w:p>
          <w:p w14:paraId="0FFC63B2" w14:textId="02232F13" w:rsidR="00480C1F" w:rsidRPr="00811EE0" w:rsidRDefault="00BB2C5E" w:rsidP="00E35274">
            <w:pPr>
              <w:autoSpaceDE w:val="0"/>
              <w:autoSpaceDN w:val="0"/>
              <w:adjustRightInd w:val="0"/>
              <w:spacing w:before="120" w:after="120" w:line="240" w:lineRule="auto"/>
              <w:jc w:val="both"/>
              <w:rPr>
                <w:rFonts w:cstheme="minorHAnsi"/>
                <w:color w:val="000000"/>
                <w:sz w:val="20"/>
                <w:szCs w:val="20"/>
                <w:lang w:val="es"/>
              </w:rPr>
            </w:pPr>
            <w:r w:rsidRPr="00811EE0">
              <w:rPr>
                <w:rFonts w:cstheme="minorHAnsi"/>
                <w:color w:val="000000"/>
                <w:sz w:val="20"/>
                <w:szCs w:val="20"/>
                <w:lang w:val="es"/>
              </w:rPr>
              <w:t xml:space="preserve">En nuestra opinión, </w:t>
            </w:r>
            <w:r w:rsidRPr="00811EE0">
              <w:rPr>
                <w:rFonts w:ascii="Calibri" w:hAnsi="Calibri" w:cs="Calibri"/>
                <w:color w:val="000000"/>
                <w:sz w:val="20"/>
                <w:szCs w:val="20"/>
                <w:lang w:val="es"/>
              </w:rPr>
              <w:t xml:space="preserve">el estado financiero adjunto presenta en todos los aspectos significativos, la imagen fiel de la situación financiera de la sociedad ABC a 31 de diciembre de 201X de conformidad con </w:t>
            </w:r>
            <w:r w:rsidRPr="00811EE0">
              <w:rPr>
                <w:rFonts w:cstheme="minorHAnsi"/>
                <w:color w:val="000000"/>
                <w:sz w:val="20"/>
                <w:szCs w:val="20"/>
                <w:lang w:val="es"/>
              </w:rPr>
              <w:t>el marco normativo de información financiera que resulta de aplicación (que se identifica en la nota X de la memoria) y, en particular, con los principios y criterios contables contenidos en el mismo.</w:t>
            </w:r>
          </w:p>
        </w:tc>
      </w:tr>
      <w:tr w:rsidR="00B26EBB" w:rsidRPr="00811EE0" w14:paraId="1184D0B3" w14:textId="77777777" w:rsidTr="005728D7">
        <w:trPr>
          <w:gridBefore w:val="1"/>
          <w:wBefore w:w="8" w:type="dxa"/>
          <w:trHeight w:val="284"/>
          <w:jc w:val="center"/>
        </w:trPr>
        <w:tc>
          <w:tcPr>
            <w:tcW w:w="9191" w:type="dxa"/>
            <w:gridSpan w:val="2"/>
            <w:shd w:val="clear" w:color="000000" w:fill="FFFFFF"/>
          </w:tcPr>
          <w:p w14:paraId="44C31C7E" w14:textId="451820D4" w:rsidR="00B26EBB" w:rsidRPr="00811EE0" w:rsidRDefault="00B26EBB" w:rsidP="00B26EBB">
            <w:pPr>
              <w:pStyle w:val="Ttulo3"/>
              <w:keepNext w:val="0"/>
              <w:keepLines w:val="0"/>
              <w:widowControl w:val="0"/>
              <w:tabs>
                <w:tab w:val="left" w:pos="408"/>
              </w:tabs>
              <w:spacing w:before="120" w:after="120" w:line="240" w:lineRule="auto"/>
              <w:rPr>
                <w:rFonts w:asciiTheme="minorHAnsi" w:hAnsiTheme="minorHAnsi" w:cstheme="minorHAnsi"/>
                <w:b/>
                <w:bCs/>
                <w:color w:val="auto"/>
                <w:sz w:val="20"/>
                <w:szCs w:val="20"/>
              </w:rPr>
            </w:pPr>
            <w:r w:rsidRPr="00811EE0">
              <w:rPr>
                <w:rFonts w:asciiTheme="minorHAnsi" w:hAnsiTheme="minorHAnsi" w:cstheme="minorHAnsi"/>
                <w:b/>
                <w:bCs/>
                <w:color w:val="auto"/>
                <w:sz w:val="20"/>
                <w:szCs w:val="20"/>
              </w:rPr>
              <w:t>2</w:t>
            </w:r>
            <w:r w:rsidRPr="00811EE0">
              <w:rPr>
                <w:b/>
                <w:sz w:val="20"/>
                <w:szCs w:val="20"/>
              </w:rPr>
              <w:tab/>
            </w:r>
            <w:proofErr w:type="gramStart"/>
            <w:r w:rsidRPr="00811EE0">
              <w:rPr>
                <w:rFonts w:asciiTheme="minorHAnsi" w:hAnsiTheme="minorHAnsi" w:cstheme="minorHAnsi"/>
                <w:b/>
                <w:bCs/>
                <w:color w:val="auto"/>
                <w:sz w:val="20"/>
                <w:szCs w:val="20"/>
              </w:rPr>
              <w:t>Fundamento</w:t>
            </w:r>
            <w:proofErr w:type="gramEnd"/>
            <w:r w:rsidRPr="00811EE0">
              <w:rPr>
                <w:rFonts w:asciiTheme="minorHAnsi" w:hAnsiTheme="minorHAnsi" w:cstheme="minorHAnsi"/>
                <w:b/>
                <w:bCs/>
                <w:color w:val="auto"/>
                <w:sz w:val="20"/>
                <w:szCs w:val="20"/>
              </w:rPr>
              <w:t xml:space="preserve"> de la opinión de auditoría</w:t>
            </w:r>
          </w:p>
          <w:p w14:paraId="1672D8EB" w14:textId="77777777" w:rsidR="00B26EBB" w:rsidRPr="00811EE0" w:rsidRDefault="00B26EBB" w:rsidP="005728D7">
            <w:pPr>
              <w:keepNext/>
              <w:keepLines/>
              <w:autoSpaceDE w:val="0"/>
              <w:autoSpaceDN w:val="0"/>
              <w:adjustRightInd w:val="0"/>
              <w:spacing w:before="120" w:after="120" w:line="240" w:lineRule="auto"/>
              <w:jc w:val="both"/>
              <w:rPr>
                <w:rFonts w:cstheme="minorHAnsi"/>
                <w:sz w:val="20"/>
                <w:szCs w:val="20"/>
                <w:lang w:val="es"/>
              </w:rPr>
            </w:pPr>
            <w:r w:rsidRPr="00811EE0">
              <w:rPr>
                <w:rFonts w:cstheme="minorHAnsi"/>
                <w:sz w:val="20"/>
                <w:szCs w:val="20"/>
                <w:lang w:val="es"/>
              </w:rPr>
              <w:t xml:space="preserve">Hemos llevado a cabo nuestra auditoría de conformidad con los Principios fundamentales de fiscalización de los Órganos de Control Externo y las Normas Internacionales de Auditoría adaptadas al Sector Público Español (NIA-ES-SP). Nuestras responsabilidades de acuerdo con dichas normas se describen más adelante en la sección </w:t>
            </w:r>
            <w:r w:rsidRPr="00811EE0">
              <w:rPr>
                <w:rFonts w:cstheme="minorHAnsi"/>
                <w:i/>
                <w:sz w:val="20"/>
                <w:szCs w:val="20"/>
                <w:lang w:val="es"/>
              </w:rPr>
              <w:t>Responsabilidad del OCEX en relación con la auditoría de cuentas anuales</w:t>
            </w:r>
            <w:r w:rsidRPr="00811EE0">
              <w:rPr>
                <w:rFonts w:cstheme="minorHAnsi"/>
                <w:sz w:val="20"/>
                <w:szCs w:val="20"/>
                <w:lang w:val="es"/>
              </w:rPr>
              <w:t xml:space="preserve"> de nuestro informe.</w:t>
            </w:r>
          </w:p>
          <w:p w14:paraId="4EF87A13" w14:textId="134685EC" w:rsidR="00B26EBB" w:rsidRPr="00811EE0" w:rsidRDefault="00B26EBB" w:rsidP="005728D7">
            <w:pPr>
              <w:keepNext/>
              <w:keepLines/>
              <w:autoSpaceDE w:val="0"/>
              <w:autoSpaceDN w:val="0"/>
              <w:adjustRightInd w:val="0"/>
              <w:spacing w:before="120" w:after="120" w:line="240" w:lineRule="auto"/>
              <w:jc w:val="both"/>
              <w:rPr>
                <w:rFonts w:cstheme="minorHAnsi"/>
                <w:sz w:val="20"/>
                <w:szCs w:val="20"/>
                <w:lang w:val="es"/>
              </w:rPr>
            </w:pPr>
            <w:r w:rsidRPr="00811EE0">
              <w:rPr>
                <w:rFonts w:cstheme="minorHAnsi"/>
                <w:sz w:val="20"/>
                <w:szCs w:val="20"/>
                <w:lang w:val="es"/>
              </w:rPr>
              <w:t xml:space="preserve">Somos independientes de </w:t>
            </w:r>
            <w:r w:rsidR="00544B82" w:rsidRPr="00811EE0">
              <w:rPr>
                <w:rFonts w:cs="Times New Roman"/>
                <w:color w:val="000000"/>
                <w:sz w:val="20"/>
                <w:szCs w:val="20"/>
              </w:rPr>
              <w:t>la sociedad ABC</w:t>
            </w:r>
            <w:r w:rsidR="00544B82" w:rsidRPr="00811EE0">
              <w:rPr>
                <w:rFonts w:cstheme="minorHAnsi"/>
                <w:sz w:val="20"/>
                <w:szCs w:val="20"/>
                <w:lang w:val="es"/>
              </w:rPr>
              <w:t xml:space="preserve"> </w:t>
            </w:r>
            <w:r w:rsidRPr="00811EE0">
              <w:rPr>
                <w:rFonts w:cstheme="minorHAnsi"/>
                <w:sz w:val="20"/>
                <w:szCs w:val="20"/>
                <w:lang w:val="es"/>
              </w:rPr>
              <w:t>de conformidad con los requerimientos de ética y protección de la independencia que son aplicables a nuestra auditoría de las cuentas anuales para el Sector Público según lo exigido por la normativa reguladora de la actividad de auditoría de cuentas de los Órganos de Control Externo y el artículo __ de la Ley reguladora del OCEX.</w:t>
            </w:r>
          </w:p>
          <w:p w14:paraId="3DFF985C" w14:textId="40AD1442" w:rsidR="00B26EBB" w:rsidRPr="00811EE0" w:rsidRDefault="00B26EBB" w:rsidP="00544B82">
            <w:pPr>
              <w:keepNext/>
              <w:keepLines/>
              <w:autoSpaceDE w:val="0"/>
              <w:autoSpaceDN w:val="0"/>
              <w:adjustRightInd w:val="0"/>
              <w:spacing w:before="120" w:after="120" w:line="240" w:lineRule="auto"/>
              <w:jc w:val="both"/>
              <w:rPr>
                <w:rFonts w:cstheme="minorHAnsi"/>
                <w:sz w:val="20"/>
                <w:szCs w:val="20"/>
                <w:lang w:val="es"/>
              </w:rPr>
            </w:pPr>
            <w:r w:rsidRPr="00811EE0">
              <w:rPr>
                <w:rFonts w:cstheme="minorHAnsi"/>
                <w:sz w:val="20"/>
                <w:szCs w:val="20"/>
                <w:lang w:val="es"/>
              </w:rPr>
              <w:t>Consideramos que la evidencia de auditoría que hemos obtenido proporciona una base suficiente y adecuada para nuestra opinión.</w:t>
            </w:r>
          </w:p>
        </w:tc>
      </w:tr>
      <w:tr w:rsidR="008410DA" w:rsidRPr="00811EE0" w14:paraId="53CEACF8" w14:textId="77777777" w:rsidTr="00955D5D">
        <w:trPr>
          <w:gridBefore w:val="1"/>
          <w:wBefore w:w="8" w:type="dxa"/>
          <w:trHeight w:val="284"/>
          <w:jc w:val="center"/>
        </w:trPr>
        <w:tc>
          <w:tcPr>
            <w:tcW w:w="9191" w:type="dxa"/>
            <w:gridSpan w:val="2"/>
            <w:shd w:val="clear" w:color="000000" w:fill="FFFFFF"/>
          </w:tcPr>
          <w:p w14:paraId="53CEACF6" w14:textId="067067D7" w:rsidR="008410DA" w:rsidRPr="00811EE0" w:rsidRDefault="00E674A0" w:rsidP="008410DA">
            <w:pPr>
              <w:tabs>
                <w:tab w:val="left" w:pos="440"/>
              </w:tabs>
              <w:autoSpaceDE w:val="0"/>
              <w:autoSpaceDN w:val="0"/>
              <w:adjustRightInd w:val="0"/>
              <w:spacing w:before="120" w:after="120" w:line="240" w:lineRule="auto"/>
              <w:rPr>
                <w:rFonts w:ascii="Calibri" w:hAnsi="Calibri" w:cs="Calibri"/>
                <w:b/>
                <w:bCs/>
                <w:iCs/>
                <w:sz w:val="20"/>
                <w:szCs w:val="20"/>
                <w:lang w:val="es"/>
              </w:rPr>
            </w:pPr>
            <w:r w:rsidRPr="00811EE0">
              <w:rPr>
                <w:rFonts w:ascii="Calibri" w:hAnsi="Calibri"/>
                <w:b/>
                <w:sz w:val="20"/>
                <w:szCs w:val="20"/>
                <w:lang w:val="es"/>
              </w:rPr>
              <w:t>3</w:t>
            </w:r>
            <w:r w:rsidR="008410DA" w:rsidRPr="00811EE0">
              <w:rPr>
                <w:b/>
                <w:sz w:val="20"/>
                <w:szCs w:val="20"/>
              </w:rPr>
              <w:tab/>
            </w:r>
            <w:proofErr w:type="gramStart"/>
            <w:r w:rsidR="008410DA" w:rsidRPr="00811EE0">
              <w:rPr>
                <w:rFonts w:ascii="Calibri" w:hAnsi="Calibri" w:cs="Calibri"/>
                <w:b/>
                <w:bCs/>
                <w:iCs/>
                <w:sz w:val="20"/>
                <w:szCs w:val="20"/>
                <w:lang w:val="es"/>
              </w:rPr>
              <w:t>Responsabilidad</w:t>
            </w:r>
            <w:proofErr w:type="gramEnd"/>
            <w:r w:rsidR="008410DA" w:rsidRPr="00811EE0">
              <w:rPr>
                <w:rFonts w:ascii="Calibri" w:hAnsi="Calibri" w:cs="Calibri"/>
                <w:b/>
                <w:bCs/>
                <w:iCs/>
                <w:sz w:val="20"/>
                <w:szCs w:val="20"/>
                <w:lang w:val="es"/>
              </w:rPr>
              <w:t xml:space="preserve"> de los administradores en relación con </w:t>
            </w:r>
            <w:r w:rsidRPr="00811EE0">
              <w:rPr>
                <w:rFonts w:ascii="Calibri" w:hAnsi="Calibri" w:cs="Calibri"/>
                <w:b/>
                <w:bCs/>
                <w:iCs/>
                <w:sz w:val="20"/>
                <w:szCs w:val="20"/>
                <w:lang w:val="es"/>
              </w:rPr>
              <w:t>el balance</w:t>
            </w:r>
          </w:p>
          <w:p w14:paraId="3C223C5A" w14:textId="77777777" w:rsidR="008410DA" w:rsidRPr="00811EE0" w:rsidRDefault="008410DA" w:rsidP="008410DA">
            <w:pPr>
              <w:widowControl w:val="0"/>
              <w:overflowPunct w:val="0"/>
              <w:autoSpaceDE w:val="0"/>
              <w:autoSpaceDN w:val="0"/>
              <w:adjustRightInd w:val="0"/>
              <w:spacing w:before="120" w:after="120" w:line="240" w:lineRule="auto"/>
              <w:jc w:val="both"/>
              <w:rPr>
                <w:rFonts w:cs="Times New Roman"/>
                <w:color w:val="000000"/>
                <w:sz w:val="20"/>
                <w:szCs w:val="20"/>
              </w:rPr>
            </w:pPr>
            <w:r w:rsidRPr="00811EE0">
              <w:rPr>
                <w:rFonts w:cs="Times New Roman"/>
                <w:color w:val="000000"/>
                <w:sz w:val="20"/>
                <w:szCs w:val="20"/>
              </w:rPr>
              <w:t xml:space="preserve">Los administradores son responsables de la preparación y presentación fiel de dicho estado financiero </w:t>
            </w:r>
            <w:r w:rsidRPr="00811EE0">
              <w:rPr>
                <w:rFonts w:cs="Times New Roman"/>
                <w:sz w:val="20"/>
                <w:szCs w:val="20"/>
              </w:rPr>
              <w:t>de conformidad con los requerimientos del marco normativo de información financiera aplicables a la preparación de un estado financiero de este tipo</w:t>
            </w:r>
            <w:r w:rsidRPr="00811EE0">
              <w:rPr>
                <w:rFonts w:cs="Times New Roman"/>
                <w:color w:val="000000"/>
                <w:sz w:val="20"/>
                <w:szCs w:val="20"/>
              </w:rPr>
              <w:t>, y del control interno que la dirección considere necesario para permitir la preparación del estado financiero libre de incorrección material, debida a fraude o error.</w:t>
            </w:r>
          </w:p>
          <w:p w14:paraId="0A65DE58" w14:textId="6598B542" w:rsidR="00347028" w:rsidRPr="00811EE0" w:rsidRDefault="00347028" w:rsidP="00347028">
            <w:pPr>
              <w:autoSpaceDE w:val="0"/>
              <w:autoSpaceDN w:val="0"/>
              <w:adjustRightInd w:val="0"/>
              <w:spacing w:before="120" w:after="120" w:line="240" w:lineRule="auto"/>
              <w:jc w:val="both"/>
              <w:rPr>
                <w:rFonts w:cstheme="minorHAnsi"/>
                <w:sz w:val="20"/>
                <w:szCs w:val="20"/>
                <w:lang w:val="es"/>
              </w:rPr>
            </w:pPr>
            <w:r w:rsidRPr="00811EE0">
              <w:rPr>
                <w:rFonts w:cstheme="minorHAnsi"/>
                <w:sz w:val="20"/>
                <w:szCs w:val="20"/>
                <w:lang w:val="es"/>
              </w:rPr>
              <w:t xml:space="preserve">En la preparación del </w:t>
            </w:r>
            <w:r w:rsidR="004F1B97" w:rsidRPr="00811EE0">
              <w:rPr>
                <w:rFonts w:cstheme="minorHAnsi"/>
                <w:sz w:val="20"/>
                <w:szCs w:val="20"/>
                <w:lang w:val="es"/>
              </w:rPr>
              <w:t xml:space="preserve">balance </w:t>
            </w:r>
            <w:r w:rsidR="004F1B97" w:rsidRPr="00811EE0">
              <w:rPr>
                <w:rFonts w:cs="Times New Roman"/>
                <w:color w:val="000000"/>
                <w:sz w:val="20"/>
                <w:szCs w:val="20"/>
              </w:rPr>
              <w:t>a 31 de diciembre de 20X1</w:t>
            </w:r>
            <w:r w:rsidRPr="00811EE0">
              <w:rPr>
                <w:rFonts w:cstheme="minorHAnsi"/>
                <w:sz w:val="20"/>
                <w:szCs w:val="20"/>
                <w:lang w:val="es"/>
              </w:rPr>
              <w:t xml:space="preserve">, </w:t>
            </w:r>
            <w:r w:rsidR="004F1B97" w:rsidRPr="00811EE0">
              <w:rPr>
                <w:rFonts w:cstheme="minorHAnsi"/>
                <w:sz w:val="20"/>
                <w:szCs w:val="20"/>
                <w:lang w:val="es"/>
              </w:rPr>
              <w:t xml:space="preserve">los administradores son </w:t>
            </w:r>
            <w:r w:rsidRPr="00811EE0">
              <w:rPr>
                <w:rFonts w:cstheme="minorHAnsi"/>
                <w:sz w:val="20"/>
                <w:szCs w:val="20"/>
                <w:lang w:val="es"/>
              </w:rPr>
              <w:t>responsable</w:t>
            </w:r>
            <w:r w:rsidR="004F1B97" w:rsidRPr="00811EE0">
              <w:rPr>
                <w:rFonts w:cstheme="minorHAnsi"/>
                <w:sz w:val="20"/>
                <w:szCs w:val="20"/>
                <w:lang w:val="es"/>
              </w:rPr>
              <w:t>s</w:t>
            </w:r>
            <w:r w:rsidRPr="00811EE0">
              <w:rPr>
                <w:rFonts w:cstheme="minorHAnsi"/>
                <w:sz w:val="20"/>
                <w:szCs w:val="20"/>
                <w:lang w:val="es"/>
              </w:rPr>
              <w:t xml:space="preserve"> de la valoración de la capacidad de la entidad para continuar como empresa en funcionamiento, revelando, según corresponda, las cuestiones relacionadas con la empresa en funcionamiento y utilizando el principio contable de empresa en funcionamiento excepto si </w:t>
            </w:r>
            <w:r w:rsidR="004F1B97" w:rsidRPr="00811EE0">
              <w:rPr>
                <w:rFonts w:cstheme="minorHAnsi"/>
                <w:sz w:val="20"/>
                <w:szCs w:val="20"/>
                <w:lang w:val="es"/>
              </w:rPr>
              <w:t xml:space="preserve">los administradores </w:t>
            </w:r>
            <w:r w:rsidRPr="00811EE0">
              <w:rPr>
                <w:rFonts w:cstheme="minorHAnsi"/>
                <w:sz w:val="20"/>
                <w:szCs w:val="20"/>
                <w:lang w:val="es"/>
              </w:rPr>
              <w:t>tiene</w:t>
            </w:r>
            <w:r w:rsidR="004F1B97" w:rsidRPr="00811EE0">
              <w:rPr>
                <w:rFonts w:cstheme="minorHAnsi"/>
                <w:sz w:val="20"/>
                <w:szCs w:val="20"/>
                <w:lang w:val="es"/>
              </w:rPr>
              <w:t>n</w:t>
            </w:r>
            <w:r w:rsidRPr="00811EE0">
              <w:rPr>
                <w:rFonts w:cstheme="minorHAnsi"/>
                <w:sz w:val="20"/>
                <w:szCs w:val="20"/>
                <w:lang w:val="es"/>
              </w:rPr>
              <w:t xml:space="preserve"> la intención o la obligación legal de liquidar la entidad o de cesar sus operaciones o bien no exista otra alternativa realista.</w:t>
            </w:r>
          </w:p>
          <w:p w14:paraId="53CEACF7" w14:textId="28AF40C6" w:rsidR="00E674A0" w:rsidRPr="00811EE0" w:rsidRDefault="00347028" w:rsidP="00347028">
            <w:pPr>
              <w:widowControl w:val="0"/>
              <w:overflowPunct w:val="0"/>
              <w:autoSpaceDE w:val="0"/>
              <w:autoSpaceDN w:val="0"/>
              <w:adjustRightInd w:val="0"/>
              <w:spacing w:before="120" w:after="120" w:line="240" w:lineRule="auto"/>
              <w:jc w:val="both"/>
              <w:rPr>
                <w:rFonts w:cs="Times New Roman"/>
                <w:color w:val="000000"/>
                <w:sz w:val="20"/>
                <w:szCs w:val="20"/>
              </w:rPr>
            </w:pPr>
            <w:r w:rsidRPr="00811EE0">
              <w:rPr>
                <w:rFonts w:cstheme="minorHAnsi"/>
                <w:sz w:val="20"/>
                <w:szCs w:val="20"/>
                <w:lang w:val="es"/>
              </w:rPr>
              <w:t xml:space="preserve">Además, </w:t>
            </w:r>
            <w:r w:rsidR="004F1B97" w:rsidRPr="00811EE0">
              <w:rPr>
                <w:rFonts w:cstheme="minorHAnsi"/>
                <w:sz w:val="20"/>
                <w:szCs w:val="20"/>
                <w:lang w:val="es"/>
              </w:rPr>
              <w:t xml:space="preserve">los administradores </w:t>
            </w:r>
            <w:r w:rsidRPr="00811EE0">
              <w:rPr>
                <w:rFonts w:cstheme="minorHAnsi"/>
                <w:sz w:val="20"/>
                <w:szCs w:val="20"/>
                <w:lang w:val="es"/>
              </w:rPr>
              <w:t>debe</w:t>
            </w:r>
            <w:r w:rsidR="004F1B97" w:rsidRPr="00811EE0">
              <w:rPr>
                <w:rFonts w:cstheme="minorHAnsi"/>
                <w:sz w:val="20"/>
                <w:szCs w:val="20"/>
                <w:lang w:val="es"/>
              </w:rPr>
              <w:t>n</w:t>
            </w:r>
            <w:r w:rsidRPr="00811EE0">
              <w:rPr>
                <w:rFonts w:cstheme="minorHAnsi"/>
                <w:sz w:val="20"/>
                <w:szCs w:val="20"/>
                <w:lang w:val="es"/>
              </w:rPr>
              <w:t xml:space="preserve"> garantizar que las actividades</w:t>
            </w:r>
            <w:r w:rsidR="008319BC" w:rsidRPr="00811EE0">
              <w:rPr>
                <w:rFonts w:cstheme="minorHAnsi"/>
                <w:sz w:val="20"/>
                <w:szCs w:val="20"/>
                <w:lang w:val="es"/>
              </w:rPr>
              <w:t xml:space="preserve"> y</w:t>
            </w:r>
            <w:r w:rsidRPr="00811EE0">
              <w:rPr>
                <w:rFonts w:cstheme="minorHAnsi"/>
                <w:sz w:val="20"/>
                <w:szCs w:val="20"/>
                <w:lang w:val="es"/>
              </w:rPr>
              <w:t xml:space="preserve"> operaciones financieras realizadas durante el ejercicio y la información reflejadas en </w:t>
            </w:r>
            <w:r w:rsidR="008319BC" w:rsidRPr="00811EE0">
              <w:rPr>
                <w:rFonts w:cstheme="minorHAnsi"/>
                <w:sz w:val="20"/>
                <w:szCs w:val="20"/>
                <w:lang w:val="es"/>
              </w:rPr>
              <w:t xml:space="preserve">dicho estado financiero </w:t>
            </w:r>
            <w:r w:rsidRPr="00811EE0">
              <w:rPr>
                <w:rFonts w:cstheme="minorHAnsi"/>
                <w:sz w:val="20"/>
                <w:szCs w:val="20"/>
                <w:lang w:val="es"/>
              </w:rPr>
              <w:t xml:space="preserve">resultan conformes con las normas aplicables </w:t>
            </w:r>
            <w:r w:rsidRPr="00811EE0">
              <w:rPr>
                <w:rFonts w:cstheme="minorHAnsi"/>
                <w:sz w:val="20"/>
                <w:szCs w:val="20"/>
                <w:lang w:val="es"/>
              </w:rPr>
              <w:lastRenderedPageBreak/>
              <w:t>y establecer el sistema de control interno que consideren necesario para esa finalidad.</w:t>
            </w:r>
          </w:p>
        </w:tc>
      </w:tr>
      <w:tr w:rsidR="008410DA" w:rsidRPr="00811EE0" w14:paraId="53CEACFD" w14:textId="77777777" w:rsidTr="00955D5D">
        <w:trPr>
          <w:gridBefore w:val="1"/>
          <w:wBefore w:w="8" w:type="dxa"/>
          <w:trHeight w:val="284"/>
          <w:jc w:val="center"/>
        </w:trPr>
        <w:tc>
          <w:tcPr>
            <w:tcW w:w="9191" w:type="dxa"/>
            <w:gridSpan w:val="2"/>
            <w:shd w:val="clear" w:color="000000" w:fill="FFFFFF"/>
          </w:tcPr>
          <w:p w14:paraId="53CEACF9" w14:textId="694EBB5D" w:rsidR="008410DA" w:rsidRPr="00811EE0" w:rsidRDefault="009B201C" w:rsidP="008410DA">
            <w:pPr>
              <w:tabs>
                <w:tab w:val="left" w:pos="440"/>
              </w:tabs>
              <w:autoSpaceDE w:val="0"/>
              <w:autoSpaceDN w:val="0"/>
              <w:adjustRightInd w:val="0"/>
              <w:spacing w:before="120" w:after="120" w:line="240" w:lineRule="auto"/>
              <w:rPr>
                <w:rFonts w:ascii="Calibri" w:hAnsi="Calibri" w:cs="Calibri"/>
                <w:b/>
                <w:bCs/>
                <w:iCs/>
                <w:color w:val="000000"/>
                <w:sz w:val="20"/>
                <w:szCs w:val="20"/>
                <w:lang w:val="es"/>
              </w:rPr>
            </w:pPr>
            <w:r w:rsidRPr="00811EE0">
              <w:rPr>
                <w:rFonts w:ascii="Calibri" w:hAnsi="Calibri"/>
                <w:b/>
                <w:sz w:val="20"/>
                <w:szCs w:val="20"/>
                <w:lang w:val="es"/>
              </w:rPr>
              <w:lastRenderedPageBreak/>
              <w:t>4</w:t>
            </w:r>
            <w:r w:rsidR="008410DA" w:rsidRPr="00811EE0">
              <w:rPr>
                <w:b/>
                <w:sz w:val="20"/>
                <w:szCs w:val="20"/>
              </w:rPr>
              <w:tab/>
            </w:r>
            <w:proofErr w:type="gramStart"/>
            <w:r w:rsidR="008410DA" w:rsidRPr="00811EE0">
              <w:rPr>
                <w:rFonts w:ascii="Calibri" w:hAnsi="Calibri" w:cs="Calibri"/>
                <w:b/>
                <w:bCs/>
                <w:iCs/>
                <w:color w:val="000000"/>
                <w:sz w:val="20"/>
                <w:szCs w:val="20"/>
                <w:lang w:val="es"/>
              </w:rPr>
              <w:t>Responsabilidad</w:t>
            </w:r>
            <w:proofErr w:type="gramEnd"/>
            <w:r w:rsidR="008410DA" w:rsidRPr="00811EE0">
              <w:rPr>
                <w:rFonts w:ascii="Calibri" w:hAnsi="Calibri" w:cs="Calibri"/>
                <w:b/>
                <w:bCs/>
                <w:iCs/>
                <w:color w:val="000000"/>
                <w:sz w:val="20"/>
                <w:szCs w:val="20"/>
                <w:lang w:val="es"/>
              </w:rPr>
              <w:t xml:space="preserve"> </w:t>
            </w:r>
            <w:r w:rsidR="001D50D2" w:rsidRPr="00811EE0">
              <w:rPr>
                <w:rFonts w:ascii="Calibri" w:hAnsi="Calibri" w:cs="Calibri"/>
                <w:b/>
                <w:bCs/>
                <w:iCs/>
                <w:color w:val="000000"/>
                <w:sz w:val="20"/>
                <w:szCs w:val="20"/>
                <w:lang w:val="es"/>
              </w:rPr>
              <w:t>del OCEX</w:t>
            </w:r>
            <w:r w:rsidR="00EB4483" w:rsidRPr="00811EE0">
              <w:rPr>
                <w:rFonts w:ascii="Calibri" w:hAnsi="Calibri" w:cs="Calibri"/>
                <w:b/>
                <w:bCs/>
                <w:iCs/>
                <w:color w:val="000000"/>
                <w:sz w:val="20"/>
                <w:szCs w:val="20"/>
                <w:lang w:val="es"/>
              </w:rPr>
              <w:t xml:space="preserve"> en relación con la auditoría</w:t>
            </w:r>
          </w:p>
          <w:p w14:paraId="53CEACFC" w14:textId="47A66439" w:rsidR="00955D5D" w:rsidRPr="00811EE0" w:rsidRDefault="002532C5" w:rsidP="008410DA">
            <w:pPr>
              <w:widowControl w:val="0"/>
              <w:overflowPunct w:val="0"/>
              <w:autoSpaceDE w:val="0"/>
              <w:autoSpaceDN w:val="0"/>
              <w:adjustRightInd w:val="0"/>
              <w:spacing w:before="120" w:after="120" w:line="240" w:lineRule="auto"/>
              <w:jc w:val="both"/>
              <w:rPr>
                <w:rFonts w:cs="Times New Roman"/>
                <w:i/>
                <w:iCs/>
                <w:sz w:val="20"/>
                <w:szCs w:val="20"/>
              </w:rPr>
            </w:pPr>
            <w:r w:rsidRPr="00811EE0">
              <w:rPr>
                <w:rFonts w:cs="Times New Roman"/>
                <w:i/>
                <w:iCs/>
                <w:sz w:val="20"/>
                <w:szCs w:val="20"/>
              </w:rPr>
              <w:t xml:space="preserve">Poner </w:t>
            </w:r>
            <w:r w:rsidR="009B201C" w:rsidRPr="00811EE0">
              <w:rPr>
                <w:rFonts w:cs="Times New Roman"/>
                <w:i/>
                <w:iCs/>
                <w:sz w:val="20"/>
                <w:szCs w:val="20"/>
              </w:rPr>
              <w:t>el apartado acorde con la NIA-ES-SP 1700 y la GPF-OCEX 1730.</w:t>
            </w:r>
          </w:p>
        </w:tc>
      </w:tr>
      <w:tr w:rsidR="008410DA" w:rsidRPr="00811EE0" w14:paraId="53CEAD07" w14:textId="77777777" w:rsidTr="009B201C">
        <w:trPr>
          <w:gridBefore w:val="1"/>
          <w:wBefore w:w="8" w:type="dxa"/>
          <w:trHeight w:val="824"/>
          <w:jc w:val="center"/>
        </w:trPr>
        <w:tc>
          <w:tcPr>
            <w:tcW w:w="9191" w:type="dxa"/>
            <w:gridSpan w:val="2"/>
            <w:shd w:val="clear" w:color="000000" w:fill="FFFFFF"/>
          </w:tcPr>
          <w:p w14:paraId="53CEAD05" w14:textId="4F8FF027" w:rsidR="008410DA" w:rsidRPr="00811EE0" w:rsidRDefault="009B201C" w:rsidP="00DD5B52">
            <w:pPr>
              <w:tabs>
                <w:tab w:val="left" w:pos="440"/>
              </w:tabs>
              <w:autoSpaceDE w:val="0"/>
              <w:autoSpaceDN w:val="0"/>
              <w:adjustRightInd w:val="0"/>
              <w:spacing w:before="120" w:after="120" w:line="240" w:lineRule="auto"/>
              <w:rPr>
                <w:rFonts w:ascii="Calibri" w:hAnsi="Calibri" w:cs="Calibri"/>
                <w:b/>
                <w:color w:val="000000"/>
                <w:sz w:val="20"/>
                <w:szCs w:val="20"/>
                <w:lang w:val="es"/>
              </w:rPr>
            </w:pPr>
            <w:r w:rsidRPr="00811EE0">
              <w:rPr>
                <w:rFonts w:ascii="Calibri" w:hAnsi="Calibri" w:cs="Calibri"/>
                <w:b/>
                <w:color w:val="000000"/>
                <w:sz w:val="20"/>
                <w:szCs w:val="20"/>
                <w:lang w:val="es"/>
              </w:rPr>
              <w:t>5</w:t>
            </w:r>
            <w:r w:rsidR="00DD5B52" w:rsidRPr="00811EE0">
              <w:rPr>
                <w:rFonts w:ascii="Calibri" w:hAnsi="Calibri" w:cs="Calibri"/>
                <w:b/>
                <w:color w:val="000000"/>
                <w:sz w:val="20"/>
                <w:szCs w:val="20"/>
                <w:lang w:val="es"/>
              </w:rPr>
              <w:tab/>
            </w:r>
            <w:proofErr w:type="gramStart"/>
            <w:r w:rsidR="008410DA" w:rsidRPr="00811EE0">
              <w:rPr>
                <w:rFonts w:ascii="Calibri" w:hAnsi="Calibri" w:cs="Calibri"/>
                <w:b/>
                <w:color w:val="000000"/>
                <w:sz w:val="20"/>
                <w:szCs w:val="20"/>
                <w:lang w:val="es"/>
              </w:rPr>
              <w:t>Recomendaciones</w:t>
            </w:r>
            <w:proofErr w:type="gramEnd"/>
          </w:p>
          <w:p w14:paraId="53CEAD06" w14:textId="047FAC81" w:rsidR="008410DA" w:rsidRPr="00811EE0" w:rsidRDefault="009B201C" w:rsidP="00955D5D">
            <w:pPr>
              <w:tabs>
                <w:tab w:val="left" w:pos="430"/>
              </w:tabs>
              <w:rPr>
                <w:rFonts w:ascii="Calibri" w:hAnsi="Calibri" w:cs="Calibri"/>
                <w:b/>
                <w:color w:val="000000"/>
                <w:sz w:val="20"/>
                <w:szCs w:val="20"/>
                <w:lang w:val="es"/>
              </w:rPr>
            </w:pPr>
            <w:r w:rsidRPr="00811EE0">
              <w:rPr>
                <w:rFonts w:ascii="Calibri" w:hAnsi="Calibri" w:cs="Calibri"/>
                <w:b/>
                <w:color w:val="000000"/>
                <w:sz w:val="20"/>
                <w:szCs w:val="20"/>
                <w:lang w:val="es"/>
              </w:rPr>
              <w:t>6</w:t>
            </w:r>
            <w:r w:rsidR="00DD5B52" w:rsidRPr="00811EE0">
              <w:rPr>
                <w:rFonts w:ascii="Calibri" w:hAnsi="Calibri" w:cs="Calibri"/>
                <w:b/>
                <w:color w:val="000000"/>
                <w:sz w:val="20"/>
                <w:szCs w:val="20"/>
                <w:lang w:val="es"/>
              </w:rPr>
              <w:tab/>
            </w:r>
            <w:proofErr w:type="gramStart"/>
            <w:r w:rsidR="00DD5B52" w:rsidRPr="00811EE0">
              <w:rPr>
                <w:rFonts w:ascii="Calibri" w:hAnsi="Calibri" w:cs="Calibri"/>
                <w:b/>
                <w:color w:val="000000"/>
                <w:sz w:val="20"/>
                <w:szCs w:val="20"/>
                <w:lang w:val="es"/>
              </w:rPr>
              <w:t>Alegaciones</w:t>
            </w:r>
            <w:proofErr w:type="gramEnd"/>
          </w:p>
        </w:tc>
      </w:tr>
      <w:tr w:rsidR="008410DA" w:rsidRPr="00811EE0" w14:paraId="53CEAD0A" w14:textId="77777777" w:rsidTr="00955D5D">
        <w:trPr>
          <w:gridBefore w:val="1"/>
          <w:wBefore w:w="8" w:type="dxa"/>
          <w:trHeight w:val="284"/>
          <w:jc w:val="center"/>
        </w:trPr>
        <w:tc>
          <w:tcPr>
            <w:tcW w:w="9191" w:type="dxa"/>
            <w:gridSpan w:val="2"/>
            <w:shd w:val="clear" w:color="000000" w:fill="FFFFFF"/>
          </w:tcPr>
          <w:p w14:paraId="53CEAD08" w14:textId="77777777" w:rsidR="008410DA" w:rsidRPr="00811EE0" w:rsidRDefault="008410DA" w:rsidP="004109C7">
            <w:pPr>
              <w:autoSpaceDE w:val="0"/>
              <w:autoSpaceDN w:val="0"/>
              <w:adjustRightInd w:val="0"/>
              <w:spacing w:before="120" w:after="120" w:line="240" w:lineRule="auto"/>
              <w:rPr>
                <w:rFonts w:ascii="Calibri" w:hAnsi="Calibri" w:cs="Calibri"/>
                <w:spacing w:val="2"/>
                <w:sz w:val="20"/>
                <w:szCs w:val="20"/>
                <w:lang w:val="es"/>
              </w:rPr>
            </w:pPr>
            <w:r w:rsidRPr="00811EE0">
              <w:rPr>
                <w:rFonts w:ascii="Calibri" w:hAnsi="Calibri" w:cs="Calibri"/>
                <w:b/>
                <w:bCs/>
                <w:spacing w:val="2"/>
                <w:sz w:val="20"/>
                <w:szCs w:val="20"/>
                <w:lang w:val="es"/>
              </w:rPr>
              <w:t>Firma</w:t>
            </w:r>
            <w:r w:rsidRPr="00811EE0">
              <w:rPr>
                <w:rFonts w:ascii="Calibri" w:hAnsi="Calibri" w:cs="Calibri"/>
                <w:spacing w:val="2"/>
                <w:sz w:val="20"/>
                <w:szCs w:val="20"/>
                <w:lang w:val="es"/>
              </w:rPr>
              <w:t xml:space="preserve"> del </w:t>
            </w:r>
            <w:r w:rsidR="004807B8" w:rsidRPr="00811EE0">
              <w:rPr>
                <w:rFonts w:ascii="Calibri" w:hAnsi="Calibri" w:cs="Calibri"/>
                <w:spacing w:val="2"/>
                <w:sz w:val="20"/>
                <w:szCs w:val="20"/>
                <w:lang w:val="es"/>
              </w:rPr>
              <w:t>responsable</w:t>
            </w:r>
            <w:r w:rsidR="00955D5D" w:rsidRPr="00811EE0">
              <w:rPr>
                <w:rFonts w:ascii="Calibri" w:hAnsi="Calibri" w:cs="Calibri"/>
                <w:spacing w:val="2"/>
                <w:sz w:val="20"/>
                <w:szCs w:val="20"/>
                <w:lang w:val="es"/>
              </w:rPr>
              <w:t xml:space="preserve"> del OCEX</w:t>
            </w:r>
          </w:p>
          <w:p w14:paraId="53CEAD09" w14:textId="77777777" w:rsidR="008410DA" w:rsidRPr="00811EE0" w:rsidRDefault="008410DA" w:rsidP="00955D5D">
            <w:pPr>
              <w:autoSpaceDE w:val="0"/>
              <w:autoSpaceDN w:val="0"/>
              <w:adjustRightInd w:val="0"/>
              <w:spacing w:before="120" w:after="120" w:line="240" w:lineRule="auto"/>
              <w:rPr>
                <w:rFonts w:ascii="Calibri" w:hAnsi="Calibri" w:cs="Calibri"/>
                <w:sz w:val="20"/>
                <w:szCs w:val="20"/>
                <w:lang w:val="es"/>
              </w:rPr>
            </w:pPr>
            <w:r w:rsidRPr="00811EE0">
              <w:rPr>
                <w:rFonts w:ascii="Calibri" w:hAnsi="Calibri" w:cs="Calibri"/>
                <w:b/>
                <w:bCs/>
                <w:sz w:val="20"/>
                <w:szCs w:val="20"/>
                <w:lang w:val="es"/>
              </w:rPr>
              <w:t>Fecha</w:t>
            </w:r>
            <w:r w:rsidR="00955D5D" w:rsidRPr="00811EE0">
              <w:rPr>
                <w:rFonts w:ascii="Calibri" w:hAnsi="Calibri" w:cs="Calibri"/>
                <w:b/>
                <w:bCs/>
                <w:sz w:val="20"/>
                <w:szCs w:val="20"/>
                <w:lang w:val="es"/>
              </w:rPr>
              <w:t xml:space="preserve"> y l</w:t>
            </w:r>
            <w:r w:rsidRPr="00811EE0">
              <w:rPr>
                <w:rFonts w:ascii="Calibri" w:hAnsi="Calibri" w:cs="Calibri"/>
                <w:b/>
                <w:bCs/>
                <w:spacing w:val="2"/>
                <w:sz w:val="20"/>
                <w:szCs w:val="20"/>
                <w:lang w:val="es"/>
              </w:rPr>
              <w:t>ugar de emisión:</w:t>
            </w:r>
            <w:r w:rsidR="00955D5D" w:rsidRPr="00811EE0">
              <w:rPr>
                <w:rFonts w:ascii="Calibri" w:hAnsi="Calibri" w:cs="Calibri"/>
                <w:bCs/>
                <w:spacing w:val="2"/>
                <w:sz w:val="20"/>
                <w:szCs w:val="20"/>
                <w:lang w:val="es"/>
              </w:rPr>
              <w:t xml:space="preserve"> </w:t>
            </w:r>
          </w:p>
        </w:tc>
      </w:tr>
      <w:tr w:rsidR="00955D5D" w:rsidRPr="00811EE0" w14:paraId="53CEAD17" w14:textId="77777777" w:rsidTr="001128AD">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8" w:space="0" w:color="808080" w:themeColor="background1" w:themeShade="80"/>
            <w:insideV w:val="single" w:sz="12" w:space="0" w:color="808080" w:themeColor="background1" w:themeShade="80"/>
          </w:tblBorders>
        </w:tblPrEx>
        <w:trPr>
          <w:gridAfter w:val="1"/>
          <w:wAfter w:w="18" w:type="dxa"/>
          <w:trHeight w:val="127"/>
          <w:jc w:val="center"/>
        </w:trPr>
        <w:tc>
          <w:tcPr>
            <w:tcW w:w="9181" w:type="dxa"/>
            <w:gridSpan w:val="2"/>
            <w:tcBorders>
              <w:top w:val="single" w:sz="8" w:space="0" w:color="808080" w:themeColor="background1" w:themeShade="80"/>
              <w:left w:val="single" w:sz="18" w:space="0" w:color="BFBFBF" w:themeColor="background1" w:themeShade="BF"/>
              <w:bottom w:val="single" w:sz="6" w:space="0" w:color="BFBFBF" w:themeColor="background1" w:themeShade="BF"/>
              <w:right w:val="single" w:sz="18" w:space="0" w:color="BFBFBF" w:themeColor="background1" w:themeShade="BF"/>
            </w:tcBorders>
          </w:tcPr>
          <w:p w14:paraId="53CEAD0B" w14:textId="3D54F45C" w:rsidR="00955D5D" w:rsidRPr="00811EE0" w:rsidRDefault="00955D5D" w:rsidP="000943D5">
            <w:pPr>
              <w:tabs>
                <w:tab w:val="left" w:pos="851"/>
              </w:tabs>
              <w:spacing w:before="120" w:after="120"/>
              <w:rPr>
                <w:i/>
                <w:sz w:val="20"/>
                <w:szCs w:val="20"/>
              </w:rPr>
            </w:pPr>
          </w:p>
          <w:p w14:paraId="53CEAD16" w14:textId="0FF74EDA" w:rsidR="00955D5D" w:rsidRPr="00811EE0" w:rsidRDefault="00955D5D" w:rsidP="000943D5">
            <w:pPr>
              <w:tabs>
                <w:tab w:val="left" w:pos="851"/>
              </w:tabs>
              <w:spacing w:before="120" w:after="120" w:line="259" w:lineRule="auto"/>
              <w:rPr>
                <w:b/>
                <w:sz w:val="20"/>
                <w:szCs w:val="20"/>
              </w:rPr>
            </w:pPr>
          </w:p>
        </w:tc>
      </w:tr>
      <w:tr w:rsidR="00955D5D" w:rsidRPr="00811EE0" w14:paraId="53CEAD1E" w14:textId="77777777" w:rsidTr="001128AD">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8" w:space="0" w:color="808080" w:themeColor="background1" w:themeShade="80"/>
            <w:insideV w:val="single" w:sz="12" w:space="0" w:color="808080" w:themeColor="background1" w:themeShade="80"/>
          </w:tblBorders>
        </w:tblPrEx>
        <w:trPr>
          <w:gridAfter w:val="1"/>
          <w:wAfter w:w="18" w:type="dxa"/>
          <w:trHeight w:val="127"/>
          <w:jc w:val="center"/>
        </w:trPr>
        <w:tc>
          <w:tcPr>
            <w:tcW w:w="9181" w:type="dxa"/>
            <w:gridSpan w:val="2"/>
            <w:tcBorders>
              <w:top w:val="single" w:sz="6"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Pr>
          <w:p w14:paraId="53CEAD1D" w14:textId="7F2F4562" w:rsidR="00955D5D" w:rsidRPr="00811EE0" w:rsidRDefault="009B201C" w:rsidP="009B201C">
            <w:pPr>
              <w:spacing w:before="120" w:after="120" w:line="240" w:lineRule="auto"/>
              <w:ind w:left="13" w:right="-62" w:hanging="6"/>
              <w:contextualSpacing/>
              <w:jc w:val="both"/>
              <w:rPr>
                <w:sz w:val="20"/>
                <w:szCs w:val="20"/>
              </w:rPr>
            </w:pPr>
            <w:r w:rsidRPr="00811EE0">
              <w:rPr>
                <w:i/>
                <w:sz w:val="20"/>
                <w:szCs w:val="20"/>
              </w:rPr>
              <w:t>El contenido y orden de los apéndices y anexos podrá variar en función de la normativa de cada OCEX y de las circunstancias de cada trabajo.</w:t>
            </w:r>
          </w:p>
        </w:tc>
      </w:tr>
    </w:tbl>
    <w:p w14:paraId="53CEAD1F" w14:textId="77777777" w:rsidR="00955D5D" w:rsidRPr="00811EE0" w:rsidRDefault="00955D5D">
      <w:pPr>
        <w:spacing w:after="160" w:line="259" w:lineRule="auto"/>
        <w:rPr>
          <w:rFonts w:cs="Times New Roman"/>
          <w:sz w:val="20"/>
          <w:szCs w:val="20"/>
        </w:rPr>
      </w:pPr>
    </w:p>
    <w:p w14:paraId="53CEAD20" w14:textId="5EB0DB00" w:rsidR="009A5E9D" w:rsidRPr="00811EE0" w:rsidRDefault="009A5E9D">
      <w:pPr>
        <w:spacing w:after="160" w:line="259" w:lineRule="auto"/>
        <w:rPr>
          <w:rFonts w:cs="Times New Roman"/>
          <w:sz w:val="20"/>
          <w:szCs w:val="20"/>
        </w:rPr>
      </w:pPr>
    </w:p>
    <w:tbl>
      <w:tblPr>
        <w:tblW w:w="9199" w:type="dxa"/>
        <w:jc w:val="center"/>
        <w:tblBorders>
          <w:top w:val="single" w:sz="18" w:space="0" w:color="BFBFBF"/>
          <w:left w:val="single" w:sz="18" w:space="0" w:color="BFBFBF"/>
          <w:bottom w:val="single" w:sz="18" w:space="0" w:color="BFBFBF"/>
          <w:right w:val="single" w:sz="18" w:space="0" w:color="BFBFBF"/>
          <w:insideH w:val="single" w:sz="4" w:space="0" w:color="BFBFBF"/>
          <w:insideV w:val="single" w:sz="18" w:space="0" w:color="BFBFBF"/>
        </w:tblBorders>
        <w:tblLayout w:type="fixed"/>
        <w:tblLook w:val="0000" w:firstRow="0" w:lastRow="0" w:firstColumn="0" w:lastColumn="0" w:noHBand="0" w:noVBand="0"/>
      </w:tblPr>
      <w:tblGrid>
        <w:gridCol w:w="8"/>
        <w:gridCol w:w="9183"/>
        <w:gridCol w:w="8"/>
      </w:tblGrid>
      <w:tr w:rsidR="009A5E9D" w:rsidRPr="00811EE0" w14:paraId="53CEAD25" w14:textId="77777777" w:rsidTr="00050F46">
        <w:trPr>
          <w:gridAfter w:val="1"/>
          <w:wAfter w:w="8" w:type="dxa"/>
          <w:trHeight w:val="284"/>
          <w:tblHeader/>
          <w:jc w:val="center"/>
        </w:trPr>
        <w:tc>
          <w:tcPr>
            <w:tcW w:w="9191" w:type="dxa"/>
            <w:gridSpan w:val="2"/>
            <w:shd w:val="clear" w:color="auto" w:fill="FFFF99"/>
            <w:vAlign w:val="center"/>
          </w:tcPr>
          <w:p w14:paraId="53CEAD21" w14:textId="77777777" w:rsidR="009A5E9D" w:rsidRPr="00811EE0" w:rsidRDefault="004F4518" w:rsidP="00196FE7">
            <w:pPr>
              <w:autoSpaceDE w:val="0"/>
              <w:autoSpaceDN w:val="0"/>
              <w:adjustRightInd w:val="0"/>
              <w:spacing w:before="60" w:after="60" w:line="240" w:lineRule="auto"/>
              <w:ind w:left="-131" w:right="-85"/>
              <w:jc w:val="center"/>
              <w:rPr>
                <w:rFonts w:ascii="Calibri" w:hAnsi="Calibri"/>
                <w:sz w:val="20"/>
                <w:szCs w:val="18"/>
                <w:lang w:val="es"/>
              </w:rPr>
            </w:pPr>
            <w:r w:rsidRPr="00811EE0">
              <w:rPr>
                <w:rFonts w:ascii="Calibri" w:hAnsi="Calibri"/>
                <w:sz w:val="20"/>
                <w:szCs w:val="18"/>
                <w:lang w:val="es"/>
              </w:rPr>
              <w:t xml:space="preserve">Ejemplo </w:t>
            </w:r>
            <w:r w:rsidR="00955D5D" w:rsidRPr="00811EE0">
              <w:rPr>
                <w:rFonts w:ascii="Calibri" w:hAnsi="Calibri"/>
                <w:sz w:val="20"/>
                <w:szCs w:val="18"/>
                <w:lang w:val="es"/>
              </w:rPr>
              <w:t>2</w:t>
            </w:r>
            <w:r w:rsidRPr="00811EE0">
              <w:rPr>
                <w:rFonts w:ascii="Calibri" w:hAnsi="Calibri"/>
                <w:sz w:val="20"/>
                <w:szCs w:val="18"/>
                <w:lang w:val="es"/>
              </w:rPr>
              <w:t xml:space="preserve"> </w:t>
            </w:r>
          </w:p>
          <w:p w14:paraId="53CEAD22" w14:textId="77777777" w:rsidR="009A5E9D" w:rsidRPr="00811EE0" w:rsidRDefault="009A5E9D" w:rsidP="00196FE7">
            <w:pPr>
              <w:autoSpaceDE w:val="0"/>
              <w:autoSpaceDN w:val="0"/>
              <w:adjustRightInd w:val="0"/>
              <w:spacing w:before="60" w:after="60" w:line="240" w:lineRule="auto"/>
              <w:ind w:left="-131" w:right="-85"/>
              <w:jc w:val="center"/>
              <w:rPr>
                <w:rFonts w:ascii="Calibri" w:hAnsi="Calibri"/>
                <w:b/>
                <w:sz w:val="20"/>
                <w:szCs w:val="18"/>
                <w:lang w:val="es"/>
              </w:rPr>
            </w:pPr>
            <w:r w:rsidRPr="00811EE0">
              <w:rPr>
                <w:rFonts w:ascii="Calibri" w:hAnsi="Calibri"/>
                <w:b/>
                <w:sz w:val="20"/>
                <w:szCs w:val="18"/>
                <w:lang w:val="es"/>
              </w:rPr>
              <w:t xml:space="preserve">Informe de auditoría financiera sobre elementos específicos de las cuentas anuales, </w:t>
            </w:r>
            <w:r w:rsidRPr="00811EE0">
              <w:rPr>
                <w:rFonts w:ascii="Calibri" w:hAnsi="Calibri"/>
                <w:b/>
                <w:sz w:val="20"/>
                <w:szCs w:val="18"/>
                <w:lang w:val="es"/>
              </w:rPr>
              <w:br/>
              <w:t>junto con informe de cumplimiento con salvedades, sobre elementos específicos de las cuentas anuales.</w:t>
            </w:r>
          </w:p>
          <w:p w14:paraId="53CEAD23" w14:textId="77777777" w:rsidR="009A5E9D" w:rsidRPr="00811EE0" w:rsidRDefault="009A5E9D" w:rsidP="00196FE7">
            <w:pPr>
              <w:autoSpaceDE w:val="0"/>
              <w:autoSpaceDN w:val="0"/>
              <w:adjustRightInd w:val="0"/>
              <w:spacing w:before="60" w:after="60" w:line="240" w:lineRule="auto"/>
              <w:ind w:left="-131" w:right="-85"/>
              <w:jc w:val="center"/>
              <w:rPr>
                <w:rFonts w:ascii="Calibri" w:hAnsi="Calibri"/>
                <w:sz w:val="20"/>
                <w:szCs w:val="18"/>
                <w:lang w:val="es"/>
              </w:rPr>
            </w:pPr>
            <w:r w:rsidRPr="00811EE0">
              <w:rPr>
                <w:rFonts w:ascii="Calibri" w:hAnsi="Calibri"/>
                <w:sz w:val="20"/>
                <w:szCs w:val="18"/>
                <w:lang w:val="es"/>
              </w:rPr>
              <w:t>Ente Gestor Público</w:t>
            </w:r>
          </w:p>
          <w:p w14:paraId="53CEAD24" w14:textId="77777777" w:rsidR="004F4518" w:rsidRPr="00811EE0" w:rsidRDefault="004F4518" w:rsidP="00196FE7">
            <w:pPr>
              <w:autoSpaceDE w:val="0"/>
              <w:autoSpaceDN w:val="0"/>
              <w:adjustRightInd w:val="0"/>
              <w:spacing w:before="60" w:after="60" w:line="240" w:lineRule="auto"/>
              <w:ind w:left="-131" w:right="-85"/>
              <w:jc w:val="center"/>
              <w:rPr>
                <w:rFonts w:ascii="Calibri" w:hAnsi="Calibri"/>
                <w:sz w:val="20"/>
                <w:szCs w:val="18"/>
                <w:lang w:val="es"/>
              </w:rPr>
            </w:pPr>
          </w:p>
        </w:tc>
      </w:tr>
      <w:tr w:rsidR="00050F46" w:rsidRPr="00811EE0" w14:paraId="53CEAD29" w14:textId="77777777" w:rsidTr="00050F46">
        <w:trPr>
          <w:gridBefore w:val="1"/>
          <w:wBefore w:w="8" w:type="dxa"/>
          <w:trHeight w:val="284"/>
          <w:jc w:val="center"/>
        </w:trPr>
        <w:tc>
          <w:tcPr>
            <w:tcW w:w="9191" w:type="dxa"/>
            <w:gridSpan w:val="2"/>
            <w:shd w:val="clear" w:color="auto" w:fill="DEEAF6" w:themeFill="accent1" w:themeFillTint="33"/>
          </w:tcPr>
          <w:p w14:paraId="53CEAD26" w14:textId="77777777" w:rsidR="00050F46" w:rsidRPr="00811EE0" w:rsidRDefault="00050F46" w:rsidP="00E203FE">
            <w:pPr>
              <w:autoSpaceDE w:val="0"/>
              <w:autoSpaceDN w:val="0"/>
              <w:adjustRightInd w:val="0"/>
              <w:spacing w:before="120" w:after="120" w:line="240" w:lineRule="auto"/>
              <w:ind w:left="441" w:hanging="425"/>
              <w:jc w:val="both"/>
              <w:rPr>
                <w:rFonts w:ascii="Calibri" w:hAnsi="Calibri"/>
                <w:sz w:val="18"/>
                <w:szCs w:val="18"/>
                <w:lang w:val="es"/>
              </w:rPr>
            </w:pPr>
            <w:r w:rsidRPr="00811EE0">
              <w:rPr>
                <w:rFonts w:ascii="Calibri" w:hAnsi="Calibri"/>
                <w:sz w:val="18"/>
                <w:szCs w:val="18"/>
                <w:lang w:val="es"/>
              </w:rPr>
              <w:t xml:space="preserve">Las </w:t>
            </w:r>
            <w:r w:rsidRPr="00811EE0">
              <w:rPr>
                <w:rFonts w:ascii="Calibri" w:hAnsi="Calibri"/>
                <w:b/>
                <w:sz w:val="18"/>
                <w:szCs w:val="18"/>
                <w:lang w:val="es"/>
              </w:rPr>
              <w:t>circunstancias</w:t>
            </w:r>
            <w:r w:rsidRPr="00811EE0">
              <w:rPr>
                <w:rFonts w:ascii="Calibri" w:hAnsi="Calibri"/>
                <w:sz w:val="18"/>
                <w:szCs w:val="18"/>
                <w:lang w:val="es"/>
              </w:rPr>
              <w:t xml:space="preserve"> son, entre otras:</w:t>
            </w:r>
          </w:p>
          <w:p w14:paraId="53CEAD27" w14:textId="77777777" w:rsidR="00050F46" w:rsidRPr="00811EE0" w:rsidRDefault="00050F46" w:rsidP="00050F46">
            <w:pPr>
              <w:numPr>
                <w:ilvl w:val="0"/>
                <w:numId w:val="14"/>
              </w:numPr>
              <w:autoSpaceDE w:val="0"/>
              <w:autoSpaceDN w:val="0"/>
              <w:adjustRightInd w:val="0"/>
              <w:spacing w:before="60" w:after="60" w:line="240" w:lineRule="auto"/>
              <w:ind w:left="428" w:hanging="425"/>
              <w:rPr>
                <w:rFonts w:ascii="Calibri" w:hAnsi="Calibri"/>
                <w:sz w:val="18"/>
                <w:szCs w:val="18"/>
                <w:lang w:val="es"/>
              </w:rPr>
            </w:pPr>
            <w:r w:rsidRPr="00811EE0">
              <w:rPr>
                <w:rFonts w:ascii="Calibri" w:hAnsi="Calibri"/>
                <w:sz w:val="18"/>
                <w:szCs w:val="18"/>
                <w:lang w:val="es"/>
              </w:rPr>
              <w:t xml:space="preserve">Auditoría financiera de “INMOVILIZADO MATERIAL”, DE LOS “APROVISIONAMIENTOS” Y DE “OTROS GASTOS DE EXPLOTACIÓN”  </w:t>
            </w:r>
          </w:p>
          <w:p w14:paraId="53CEAD28" w14:textId="77777777" w:rsidR="00050F46" w:rsidRPr="00811EE0" w:rsidRDefault="00050F46" w:rsidP="00050F46">
            <w:pPr>
              <w:numPr>
                <w:ilvl w:val="0"/>
                <w:numId w:val="14"/>
              </w:numPr>
              <w:autoSpaceDE w:val="0"/>
              <w:autoSpaceDN w:val="0"/>
              <w:adjustRightInd w:val="0"/>
              <w:spacing w:before="60" w:after="60" w:line="240" w:lineRule="auto"/>
              <w:ind w:left="428" w:hanging="425"/>
              <w:jc w:val="both"/>
              <w:rPr>
                <w:rFonts w:ascii="Calibri" w:hAnsi="Calibri"/>
                <w:sz w:val="18"/>
                <w:szCs w:val="18"/>
                <w:lang w:val="es"/>
              </w:rPr>
            </w:pPr>
            <w:r w:rsidRPr="00811EE0">
              <w:rPr>
                <w:rFonts w:ascii="Calibri" w:hAnsi="Calibri"/>
                <w:sz w:val="18"/>
                <w:szCs w:val="18"/>
                <w:lang w:val="es"/>
              </w:rPr>
              <w:t xml:space="preserve">Los estados financieros han sido </w:t>
            </w:r>
            <w:proofErr w:type="gramStart"/>
            <w:r w:rsidRPr="00811EE0">
              <w:rPr>
                <w:rFonts w:ascii="Calibri" w:hAnsi="Calibri"/>
                <w:sz w:val="18"/>
                <w:szCs w:val="18"/>
                <w:lang w:val="es"/>
              </w:rPr>
              <w:t>preparado</w:t>
            </w:r>
            <w:proofErr w:type="gramEnd"/>
            <w:r w:rsidRPr="00811EE0">
              <w:rPr>
                <w:rFonts w:ascii="Calibri" w:hAnsi="Calibri"/>
                <w:sz w:val="18"/>
                <w:szCs w:val="18"/>
                <w:lang w:val="es"/>
              </w:rPr>
              <w:t xml:space="preserve"> por la dirección de la entidad, de conformidad con el PGC.</w:t>
            </w:r>
          </w:p>
        </w:tc>
      </w:tr>
      <w:tr w:rsidR="009A5E9D" w:rsidRPr="00811EE0" w14:paraId="53CEAD2E" w14:textId="77777777" w:rsidTr="00050F46">
        <w:trPr>
          <w:gridAfter w:val="1"/>
          <w:wAfter w:w="8" w:type="dxa"/>
          <w:trHeight w:val="284"/>
          <w:jc w:val="center"/>
        </w:trPr>
        <w:tc>
          <w:tcPr>
            <w:tcW w:w="9191" w:type="dxa"/>
            <w:gridSpan w:val="2"/>
            <w:shd w:val="clear" w:color="000000" w:fill="FFFFFF"/>
          </w:tcPr>
          <w:p w14:paraId="53CEAD2A" w14:textId="77777777" w:rsidR="009A5E9D" w:rsidRPr="00811EE0" w:rsidRDefault="009A5E9D" w:rsidP="00196FE7">
            <w:pPr>
              <w:autoSpaceDE w:val="0"/>
              <w:autoSpaceDN w:val="0"/>
              <w:adjustRightInd w:val="0"/>
              <w:spacing w:before="120" w:after="120" w:line="240" w:lineRule="auto"/>
              <w:ind w:left="441" w:hanging="425"/>
              <w:jc w:val="center"/>
              <w:rPr>
                <w:rFonts w:ascii="Calibri" w:hAnsi="Calibri"/>
                <w:b/>
                <w:sz w:val="18"/>
                <w:szCs w:val="18"/>
                <w:lang w:val="es"/>
              </w:rPr>
            </w:pPr>
            <w:r w:rsidRPr="00811EE0">
              <w:rPr>
                <w:rFonts w:ascii="Calibri" w:hAnsi="Calibri"/>
                <w:b/>
                <w:sz w:val="18"/>
                <w:szCs w:val="18"/>
                <w:lang w:val="es"/>
              </w:rPr>
              <w:t>INFORME DE FISCALIZACIÓN</w:t>
            </w:r>
          </w:p>
          <w:p w14:paraId="53CEAD2B" w14:textId="77777777" w:rsidR="009A5E9D" w:rsidRPr="00811EE0" w:rsidRDefault="009A5E9D" w:rsidP="00196FE7">
            <w:pPr>
              <w:autoSpaceDE w:val="0"/>
              <w:autoSpaceDN w:val="0"/>
              <w:adjustRightInd w:val="0"/>
              <w:spacing w:before="60" w:after="60" w:line="240" w:lineRule="auto"/>
              <w:ind w:left="17"/>
              <w:jc w:val="both"/>
              <w:rPr>
                <w:rFonts w:ascii="Calibri" w:hAnsi="Calibri"/>
                <w:sz w:val="18"/>
                <w:szCs w:val="18"/>
                <w:lang w:val="es"/>
              </w:rPr>
            </w:pPr>
          </w:p>
          <w:p w14:paraId="53CEAD2C" w14:textId="77777777" w:rsidR="009A5E9D" w:rsidRPr="00811EE0" w:rsidRDefault="009A5E9D" w:rsidP="00196FE7">
            <w:pPr>
              <w:autoSpaceDE w:val="0"/>
              <w:autoSpaceDN w:val="0"/>
              <w:adjustRightInd w:val="0"/>
              <w:spacing w:before="60" w:after="60" w:line="240" w:lineRule="auto"/>
              <w:ind w:left="17"/>
              <w:jc w:val="both"/>
              <w:rPr>
                <w:rFonts w:ascii="Calibri" w:hAnsi="Calibri" w:cs="Calibri"/>
                <w:sz w:val="18"/>
                <w:szCs w:val="18"/>
                <w:lang w:val="es"/>
              </w:rPr>
            </w:pPr>
            <w:r w:rsidRPr="00811EE0">
              <w:rPr>
                <w:rFonts w:ascii="Calibri" w:hAnsi="Calibri"/>
                <w:sz w:val="18"/>
                <w:szCs w:val="18"/>
                <w:lang w:val="es"/>
              </w:rPr>
              <w:t xml:space="preserve">Al Presidente de </w:t>
            </w:r>
            <w:r w:rsidRPr="00811EE0">
              <w:rPr>
                <w:rFonts w:ascii="Calibri" w:hAnsi="Calibri" w:cs="Calibri"/>
                <w:sz w:val="18"/>
                <w:szCs w:val="18"/>
                <w:lang w:val="es"/>
              </w:rPr>
              <w:t>Ente Gestor Público</w:t>
            </w:r>
          </w:p>
          <w:p w14:paraId="53CEAD2D" w14:textId="77777777" w:rsidR="004F4518" w:rsidRPr="00811EE0" w:rsidRDefault="004F4518" w:rsidP="00955D5D">
            <w:pPr>
              <w:autoSpaceDE w:val="0"/>
              <w:autoSpaceDN w:val="0"/>
              <w:adjustRightInd w:val="0"/>
              <w:spacing w:before="60" w:after="60" w:line="240" w:lineRule="auto"/>
              <w:ind w:left="17"/>
              <w:jc w:val="both"/>
              <w:rPr>
                <w:rFonts w:ascii="Calibri" w:hAnsi="Calibri"/>
                <w:sz w:val="18"/>
                <w:szCs w:val="18"/>
                <w:lang w:val="es"/>
              </w:rPr>
            </w:pPr>
          </w:p>
        </w:tc>
      </w:tr>
      <w:tr w:rsidR="000337ED" w:rsidRPr="00811EE0" w14:paraId="533B3834" w14:textId="77777777" w:rsidTr="005728D7">
        <w:trPr>
          <w:gridBefore w:val="1"/>
          <w:wBefore w:w="8" w:type="dxa"/>
          <w:trHeight w:val="284"/>
          <w:jc w:val="center"/>
        </w:trPr>
        <w:tc>
          <w:tcPr>
            <w:tcW w:w="9191" w:type="dxa"/>
            <w:gridSpan w:val="2"/>
            <w:shd w:val="clear" w:color="000000" w:fill="FFFFFF"/>
          </w:tcPr>
          <w:p w14:paraId="05B807C3" w14:textId="0705EA3D" w:rsidR="000337ED" w:rsidRPr="00811EE0" w:rsidRDefault="000337ED" w:rsidP="005728D7">
            <w:pPr>
              <w:tabs>
                <w:tab w:val="left" w:pos="440"/>
              </w:tabs>
              <w:autoSpaceDE w:val="0"/>
              <w:autoSpaceDN w:val="0"/>
              <w:adjustRightInd w:val="0"/>
              <w:spacing w:before="120" w:after="120" w:line="240" w:lineRule="auto"/>
              <w:rPr>
                <w:rFonts w:ascii="Calibri" w:hAnsi="Calibri" w:cs="Calibri"/>
                <w:b/>
                <w:bCs/>
                <w:iCs/>
                <w:color w:val="000000"/>
                <w:sz w:val="20"/>
                <w:szCs w:val="20"/>
                <w:lang w:val="es"/>
              </w:rPr>
            </w:pPr>
            <w:r w:rsidRPr="00811EE0">
              <w:rPr>
                <w:rFonts w:ascii="Calibri" w:hAnsi="Calibri"/>
                <w:b/>
                <w:sz w:val="20"/>
                <w:szCs w:val="20"/>
                <w:lang w:val="es"/>
              </w:rPr>
              <w:t>1</w:t>
            </w:r>
            <w:r w:rsidRPr="00811EE0">
              <w:rPr>
                <w:b/>
                <w:sz w:val="20"/>
                <w:szCs w:val="20"/>
              </w:rPr>
              <w:tab/>
            </w:r>
            <w:proofErr w:type="gramStart"/>
            <w:r w:rsidR="00C32B81" w:rsidRPr="00811EE0">
              <w:rPr>
                <w:rFonts w:ascii="Calibri" w:hAnsi="Calibri" w:cs="Calibri"/>
                <w:b/>
                <w:bCs/>
                <w:iCs/>
                <w:color w:val="000000"/>
                <w:sz w:val="20"/>
                <w:szCs w:val="20"/>
                <w:lang w:val="es"/>
              </w:rPr>
              <w:t>Introducción</w:t>
            </w:r>
            <w:proofErr w:type="gramEnd"/>
          </w:p>
          <w:p w14:paraId="000E70A7" w14:textId="53743F50" w:rsidR="000337ED" w:rsidRPr="00811EE0" w:rsidRDefault="000337ED" w:rsidP="005728D7">
            <w:pPr>
              <w:autoSpaceDE w:val="0"/>
              <w:autoSpaceDN w:val="0"/>
              <w:adjustRightInd w:val="0"/>
              <w:spacing w:before="120" w:after="120" w:line="240" w:lineRule="auto"/>
              <w:jc w:val="both"/>
              <w:rPr>
                <w:sz w:val="18"/>
                <w:szCs w:val="18"/>
              </w:rPr>
            </w:pPr>
            <w:r w:rsidRPr="00811EE0">
              <w:rPr>
                <w:rFonts w:cstheme="minorHAnsi"/>
                <w:sz w:val="20"/>
                <w:szCs w:val="20"/>
                <w:u w:val="single"/>
                <w:lang w:val="es"/>
              </w:rPr>
              <w:t>El OCEX</w:t>
            </w:r>
            <w:r w:rsidRPr="00811EE0">
              <w:rPr>
                <w:rFonts w:cstheme="minorHAnsi"/>
                <w:sz w:val="20"/>
                <w:szCs w:val="20"/>
                <w:lang w:val="es"/>
              </w:rPr>
              <w:t xml:space="preserve">, en virtud de lo dispuesto en su Ley de creación, y conforme a lo previsto en el Programa Anual de Fiscalización, </w:t>
            </w:r>
            <w:r w:rsidRPr="00811EE0">
              <w:rPr>
                <w:sz w:val="18"/>
                <w:szCs w:val="18"/>
              </w:rPr>
              <w:t>ha auditado los epígrafes de “Inmovilizado material”, “Aprovisionamientos” y “Otros gastos de explotación”, incluidos en las cuentas anuales de 20</w:t>
            </w:r>
            <w:r w:rsidR="00E33739" w:rsidRPr="00811EE0">
              <w:rPr>
                <w:sz w:val="18"/>
                <w:szCs w:val="18"/>
              </w:rPr>
              <w:t>20</w:t>
            </w:r>
            <w:r w:rsidRPr="00811EE0">
              <w:rPr>
                <w:sz w:val="18"/>
                <w:szCs w:val="18"/>
              </w:rPr>
              <w:t xml:space="preserve"> de Ente Gestor Público (en adelante EGP o la Entidad). El alcance de la auditoría financiera está limitado a dichos elementos de las cuentas anuales.</w:t>
            </w:r>
          </w:p>
          <w:p w14:paraId="0BA8B47D" w14:textId="3B2A4BDD" w:rsidR="0060282F" w:rsidRPr="00811EE0" w:rsidRDefault="0060282F" w:rsidP="0060282F">
            <w:pPr>
              <w:tabs>
                <w:tab w:val="left" w:pos="436"/>
                <w:tab w:val="left" w:pos="851"/>
                <w:tab w:val="right" w:pos="9071"/>
              </w:tabs>
              <w:spacing w:before="120" w:after="120" w:line="240" w:lineRule="auto"/>
              <w:jc w:val="both"/>
              <w:rPr>
                <w:sz w:val="18"/>
                <w:szCs w:val="18"/>
              </w:rPr>
            </w:pPr>
            <w:r w:rsidRPr="00811EE0">
              <w:rPr>
                <w:sz w:val="18"/>
                <w:szCs w:val="18"/>
              </w:rPr>
              <w:t>Las cuentas anuales de EGP comprenden el balance a 31 de diciembre de 20</w:t>
            </w:r>
            <w:r w:rsidR="00E33739" w:rsidRPr="00811EE0">
              <w:rPr>
                <w:sz w:val="18"/>
                <w:szCs w:val="18"/>
              </w:rPr>
              <w:t>20</w:t>
            </w:r>
            <w:r w:rsidRPr="00811EE0">
              <w:rPr>
                <w:sz w:val="18"/>
                <w:szCs w:val="18"/>
              </w:rPr>
              <w:t xml:space="preserve">, la cuenta de pérdidas y ganancias, el estado de cambios en el patrimonio neto, el estado de flujos de efectivo y la </w:t>
            </w:r>
            <w:proofErr w:type="gramStart"/>
            <w:r w:rsidRPr="00811EE0">
              <w:rPr>
                <w:sz w:val="18"/>
                <w:szCs w:val="18"/>
              </w:rPr>
              <w:t>memoria correspondientes</w:t>
            </w:r>
            <w:proofErr w:type="gramEnd"/>
            <w:r w:rsidRPr="00811EE0">
              <w:rPr>
                <w:sz w:val="18"/>
                <w:szCs w:val="18"/>
              </w:rPr>
              <w:t xml:space="preserve"> al ejercicio terminado en dicha fecha, y se adjuntan íntegramente en el Anexo 4 de este Informe.</w:t>
            </w:r>
          </w:p>
          <w:p w14:paraId="6220D642" w14:textId="0ED453E7" w:rsidR="0060282F" w:rsidRPr="00811EE0" w:rsidRDefault="0060282F" w:rsidP="0060282F">
            <w:pPr>
              <w:spacing w:before="120" w:after="120" w:line="240" w:lineRule="auto"/>
              <w:jc w:val="both"/>
              <w:rPr>
                <w:sz w:val="18"/>
                <w:szCs w:val="18"/>
              </w:rPr>
            </w:pPr>
            <w:r w:rsidRPr="00811EE0">
              <w:rPr>
                <w:sz w:val="18"/>
                <w:szCs w:val="18"/>
              </w:rPr>
              <w:lastRenderedPageBreak/>
              <w:t xml:space="preserve">En combinación con la auditoría financiera de los elementos señalados de las cuentas anuales, </w:t>
            </w:r>
            <w:r w:rsidR="00E33739" w:rsidRPr="00811EE0">
              <w:rPr>
                <w:sz w:val="18"/>
                <w:szCs w:val="18"/>
              </w:rPr>
              <w:t>el OCEX</w:t>
            </w:r>
            <w:r w:rsidRPr="00811EE0">
              <w:rPr>
                <w:sz w:val="18"/>
                <w:szCs w:val="18"/>
              </w:rPr>
              <w:t xml:space="preserve"> ha fiscalizado si la actividad contractual desarrollada por la Entidad durante el ejercicio 20</w:t>
            </w:r>
            <w:r w:rsidR="00E33739" w:rsidRPr="00811EE0">
              <w:rPr>
                <w:sz w:val="18"/>
                <w:szCs w:val="18"/>
              </w:rPr>
              <w:t>20</w:t>
            </w:r>
            <w:r w:rsidRPr="00811EE0">
              <w:rPr>
                <w:sz w:val="18"/>
                <w:szCs w:val="18"/>
              </w:rPr>
              <w:t xml:space="preserve"> se ha realizado </w:t>
            </w:r>
            <w:r w:rsidRPr="00811EE0">
              <w:rPr>
                <w:rFonts w:cs="Calibri"/>
                <w:sz w:val="18"/>
                <w:szCs w:val="20"/>
                <w:lang w:val="es"/>
              </w:rPr>
              <w:t>en todos los aspectos significativos de conformidad con</w:t>
            </w:r>
            <w:r w:rsidRPr="00811EE0">
              <w:rPr>
                <w:sz w:val="18"/>
                <w:szCs w:val="18"/>
              </w:rPr>
              <w:t xml:space="preserve"> la normativa vigente.</w:t>
            </w:r>
          </w:p>
          <w:p w14:paraId="680C2670" w14:textId="1402D86C" w:rsidR="0060282F" w:rsidRPr="00811EE0" w:rsidRDefault="0060282F" w:rsidP="0060282F">
            <w:pPr>
              <w:autoSpaceDE w:val="0"/>
              <w:autoSpaceDN w:val="0"/>
              <w:adjustRightInd w:val="0"/>
              <w:spacing w:before="120" w:after="120" w:line="240" w:lineRule="auto"/>
              <w:jc w:val="both"/>
              <w:rPr>
                <w:sz w:val="18"/>
                <w:szCs w:val="18"/>
              </w:rPr>
            </w:pPr>
            <w:proofErr w:type="gramStart"/>
            <w:r w:rsidRPr="00811EE0">
              <w:rPr>
                <w:rFonts w:cs="Calibri"/>
                <w:sz w:val="18"/>
                <w:szCs w:val="20"/>
                <w:lang w:val="es"/>
              </w:rPr>
              <w:t>Además</w:t>
            </w:r>
            <w:proofErr w:type="gramEnd"/>
            <w:r w:rsidRPr="00811EE0">
              <w:rPr>
                <w:rFonts w:cs="Calibri"/>
                <w:sz w:val="18"/>
                <w:szCs w:val="20"/>
                <w:lang w:val="es"/>
              </w:rPr>
              <w:t xml:space="preserve"> como parte de la auditoría financiera, hemos planificado y ejecutado una revisión de cumplimiento de otras obligaciones legales para emitir una conclusión de seguridad limitada sobre si las actividades, operaciones financieras y la información reflejada en los estados contables de 20</w:t>
            </w:r>
            <w:r w:rsidR="00E33739" w:rsidRPr="00811EE0">
              <w:rPr>
                <w:rFonts w:cs="Calibri"/>
                <w:sz w:val="18"/>
                <w:szCs w:val="20"/>
                <w:lang w:val="es"/>
              </w:rPr>
              <w:t>20</w:t>
            </w:r>
            <w:r w:rsidRPr="00811EE0">
              <w:rPr>
                <w:rFonts w:cs="Calibri"/>
                <w:sz w:val="18"/>
                <w:szCs w:val="20"/>
                <w:lang w:val="es"/>
              </w:rPr>
              <w:t xml:space="preserve"> resultan conformes en todos los aspectos significativos con las normas aplicables.</w:t>
            </w:r>
          </w:p>
          <w:p w14:paraId="140BCCA1" w14:textId="1ACA15EF" w:rsidR="009B4B2D" w:rsidRPr="00811EE0" w:rsidRDefault="00E33739" w:rsidP="009B4B2D">
            <w:pPr>
              <w:tabs>
                <w:tab w:val="left" w:pos="440"/>
              </w:tabs>
              <w:autoSpaceDE w:val="0"/>
              <w:autoSpaceDN w:val="0"/>
              <w:adjustRightInd w:val="0"/>
              <w:spacing w:before="120" w:after="120" w:line="240" w:lineRule="auto"/>
              <w:rPr>
                <w:rFonts w:ascii="Calibri" w:hAnsi="Calibri" w:cs="Calibri"/>
                <w:b/>
                <w:bCs/>
                <w:iCs/>
                <w:color w:val="000000"/>
                <w:sz w:val="20"/>
                <w:szCs w:val="20"/>
                <w:lang w:val="es"/>
              </w:rPr>
            </w:pPr>
            <w:r w:rsidRPr="00811EE0">
              <w:rPr>
                <w:b/>
                <w:sz w:val="20"/>
                <w:szCs w:val="20"/>
              </w:rPr>
              <w:t>2</w:t>
            </w:r>
            <w:r w:rsidR="009B4B2D" w:rsidRPr="00811EE0">
              <w:rPr>
                <w:b/>
                <w:sz w:val="20"/>
                <w:szCs w:val="20"/>
              </w:rPr>
              <w:tab/>
            </w:r>
            <w:proofErr w:type="gramStart"/>
            <w:r w:rsidR="009B4B2D" w:rsidRPr="00811EE0">
              <w:rPr>
                <w:rFonts w:ascii="Calibri" w:hAnsi="Calibri" w:cs="Calibri"/>
                <w:b/>
                <w:bCs/>
                <w:iCs/>
                <w:color w:val="000000"/>
                <w:sz w:val="20"/>
                <w:szCs w:val="20"/>
                <w:lang w:val="es"/>
              </w:rPr>
              <w:t>Opinión</w:t>
            </w:r>
            <w:proofErr w:type="gramEnd"/>
            <w:r w:rsidR="005B0921" w:rsidRPr="00811EE0">
              <w:rPr>
                <w:rFonts w:ascii="Calibri" w:hAnsi="Calibri" w:cs="Calibri"/>
                <w:b/>
                <w:bCs/>
                <w:iCs/>
                <w:color w:val="000000"/>
                <w:sz w:val="20"/>
                <w:szCs w:val="20"/>
                <w:lang w:val="es"/>
              </w:rPr>
              <w:t xml:space="preserve"> de auditoría financiera</w:t>
            </w:r>
          </w:p>
          <w:p w14:paraId="45045B9C" w14:textId="289FE209" w:rsidR="000337ED" w:rsidRPr="00811EE0" w:rsidRDefault="0060282F" w:rsidP="005728D7">
            <w:pPr>
              <w:autoSpaceDE w:val="0"/>
              <w:autoSpaceDN w:val="0"/>
              <w:adjustRightInd w:val="0"/>
              <w:spacing w:before="120" w:after="120" w:line="240" w:lineRule="auto"/>
              <w:jc w:val="both"/>
              <w:rPr>
                <w:rFonts w:cstheme="minorHAnsi"/>
                <w:color w:val="000000"/>
                <w:sz w:val="20"/>
                <w:szCs w:val="20"/>
                <w:lang w:val="es"/>
              </w:rPr>
            </w:pPr>
            <w:r w:rsidRPr="00811EE0">
              <w:rPr>
                <w:sz w:val="18"/>
                <w:szCs w:val="18"/>
              </w:rPr>
              <w:t>En nuestra opinión, los epígrafes “Inmovilizado material” del balance a 31 de diciembre de 20</w:t>
            </w:r>
            <w:r w:rsidR="00E33739" w:rsidRPr="00811EE0">
              <w:rPr>
                <w:sz w:val="18"/>
                <w:szCs w:val="18"/>
              </w:rPr>
              <w:t>20</w:t>
            </w:r>
            <w:r w:rsidRPr="00811EE0">
              <w:rPr>
                <w:sz w:val="18"/>
                <w:szCs w:val="18"/>
              </w:rPr>
              <w:t xml:space="preserve"> de EGP y los “Aprovisionamientos” y los “Otros gastos de explotación” de la cuenta de la cuenta de pérdidas correspondiente al ejercicio terminado en dicha fecha se han preparado en todos los aspectos significativos, de conformidad con el marco normativo de información financiera que resulta de aplicación y, en particular, con los principios y criterios contables contenidos en el mismo.</w:t>
            </w:r>
          </w:p>
        </w:tc>
      </w:tr>
      <w:tr w:rsidR="000337ED" w:rsidRPr="00811EE0" w14:paraId="1157F534" w14:textId="77777777" w:rsidTr="005728D7">
        <w:trPr>
          <w:gridBefore w:val="1"/>
          <w:wBefore w:w="8" w:type="dxa"/>
          <w:trHeight w:val="284"/>
          <w:jc w:val="center"/>
        </w:trPr>
        <w:tc>
          <w:tcPr>
            <w:tcW w:w="9191" w:type="dxa"/>
            <w:gridSpan w:val="2"/>
            <w:shd w:val="clear" w:color="000000" w:fill="FFFFFF"/>
          </w:tcPr>
          <w:p w14:paraId="21E803C6" w14:textId="271C1E6A" w:rsidR="000337ED" w:rsidRPr="00811EE0" w:rsidRDefault="00663977" w:rsidP="005728D7">
            <w:pPr>
              <w:pStyle w:val="Ttulo3"/>
              <w:keepNext w:val="0"/>
              <w:keepLines w:val="0"/>
              <w:widowControl w:val="0"/>
              <w:tabs>
                <w:tab w:val="left" w:pos="408"/>
              </w:tabs>
              <w:spacing w:before="120" w:after="120" w:line="240" w:lineRule="auto"/>
              <w:rPr>
                <w:rFonts w:asciiTheme="minorHAnsi" w:hAnsiTheme="minorHAnsi" w:cstheme="minorHAnsi"/>
                <w:b/>
                <w:bCs/>
                <w:color w:val="auto"/>
                <w:sz w:val="20"/>
                <w:szCs w:val="20"/>
              </w:rPr>
            </w:pPr>
            <w:r w:rsidRPr="00811EE0">
              <w:rPr>
                <w:rFonts w:asciiTheme="minorHAnsi" w:hAnsiTheme="minorHAnsi" w:cstheme="minorHAnsi"/>
                <w:b/>
                <w:bCs/>
                <w:color w:val="auto"/>
                <w:sz w:val="20"/>
                <w:szCs w:val="20"/>
              </w:rPr>
              <w:lastRenderedPageBreak/>
              <w:t>3</w:t>
            </w:r>
            <w:r w:rsidR="000337ED" w:rsidRPr="00811EE0">
              <w:rPr>
                <w:b/>
                <w:sz w:val="20"/>
                <w:szCs w:val="20"/>
              </w:rPr>
              <w:tab/>
            </w:r>
            <w:proofErr w:type="gramStart"/>
            <w:r w:rsidR="000337ED" w:rsidRPr="00811EE0">
              <w:rPr>
                <w:rFonts w:asciiTheme="minorHAnsi" w:hAnsiTheme="minorHAnsi" w:cstheme="minorHAnsi"/>
                <w:b/>
                <w:bCs/>
                <w:color w:val="auto"/>
                <w:sz w:val="20"/>
                <w:szCs w:val="20"/>
              </w:rPr>
              <w:t>Fundamento</w:t>
            </w:r>
            <w:proofErr w:type="gramEnd"/>
            <w:r w:rsidR="000337ED" w:rsidRPr="00811EE0">
              <w:rPr>
                <w:rFonts w:asciiTheme="minorHAnsi" w:hAnsiTheme="minorHAnsi" w:cstheme="minorHAnsi"/>
                <w:b/>
                <w:bCs/>
                <w:color w:val="auto"/>
                <w:sz w:val="20"/>
                <w:szCs w:val="20"/>
              </w:rPr>
              <w:t xml:space="preserve"> de la opinión de auditoría</w:t>
            </w:r>
            <w:r w:rsidR="005B0921" w:rsidRPr="00811EE0">
              <w:rPr>
                <w:rFonts w:asciiTheme="minorHAnsi" w:hAnsiTheme="minorHAnsi" w:cstheme="minorHAnsi"/>
                <w:b/>
                <w:bCs/>
                <w:color w:val="auto"/>
                <w:sz w:val="20"/>
                <w:szCs w:val="20"/>
              </w:rPr>
              <w:t xml:space="preserve"> financiera</w:t>
            </w:r>
          </w:p>
          <w:p w14:paraId="5CE59773" w14:textId="5B794C0A" w:rsidR="000337ED" w:rsidRPr="00811EE0" w:rsidRDefault="000337ED" w:rsidP="005728D7">
            <w:pPr>
              <w:keepNext/>
              <w:keepLines/>
              <w:autoSpaceDE w:val="0"/>
              <w:autoSpaceDN w:val="0"/>
              <w:adjustRightInd w:val="0"/>
              <w:spacing w:before="120" w:after="120" w:line="240" w:lineRule="auto"/>
              <w:jc w:val="both"/>
              <w:rPr>
                <w:rFonts w:cstheme="minorHAnsi"/>
                <w:sz w:val="20"/>
                <w:szCs w:val="20"/>
                <w:lang w:val="es"/>
              </w:rPr>
            </w:pPr>
            <w:r w:rsidRPr="00811EE0">
              <w:rPr>
                <w:rFonts w:cstheme="minorHAnsi"/>
                <w:sz w:val="20"/>
                <w:szCs w:val="20"/>
                <w:lang w:val="es"/>
              </w:rPr>
              <w:t xml:space="preserve">Hemos llevado a cabo nuestra auditoría de conformidad con los Principios fundamentales de fiscalización de los Órganos de Control Externo y las Normas Internacionales de Auditoría adaptadas al Sector Público Español (NIA-ES-SP). Nuestras responsabilidades de acuerdo con dichas normas se describen más adelante en la sección </w:t>
            </w:r>
            <w:r w:rsidRPr="00811EE0">
              <w:rPr>
                <w:rFonts w:cstheme="minorHAnsi"/>
                <w:i/>
                <w:sz w:val="20"/>
                <w:szCs w:val="20"/>
                <w:lang w:val="es"/>
              </w:rPr>
              <w:t xml:space="preserve">Responsabilidad del OCEX en relación con la auditoría </w:t>
            </w:r>
            <w:r w:rsidRPr="00811EE0">
              <w:rPr>
                <w:rFonts w:cstheme="minorHAnsi"/>
                <w:sz w:val="20"/>
                <w:szCs w:val="20"/>
                <w:lang w:val="es"/>
              </w:rPr>
              <w:t>de nuestro informe.</w:t>
            </w:r>
          </w:p>
          <w:p w14:paraId="6EEFEC6B" w14:textId="66AFD5AF" w:rsidR="000337ED" w:rsidRPr="00811EE0" w:rsidRDefault="000337ED" w:rsidP="005728D7">
            <w:pPr>
              <w:keepNext/>
              <w:keepLines/>
              <w:autoSpaceDE w:val="0"/>
              <w:autoSpaceDN w:val="0"/>
              <w:adjustRightInd w:val="0"/>
              <w:spacing w:before="120" w:after="120" w:line="240" w:lineRule="auto"/>
              <w:jc w:val="both"/>
              <w:rPr>
                <w:rFonts w:cstheme="minorHAnsi"/>
                <w:sz w:val="20"/>
                <w:szCs w:val="20"/>
                <w:lang w:val="es"/>
              </w:rPr>
            </w:pPr>
            <w:r w:rsidRPr="00811EE0">
              <w:rPr>
                <w:rFonts w:cstheme="minorHAnsi"/>
                <w:sz w:val="20"/>
                <w:szCs w:val="20"/>
                <w:lang w:val="es"/>
              </w:rPr>
              <w:t xml:space="preserve">Somos independientes de </w:t>
            </w:r>
            <w:r w:rsidR="005B0921" w:rsidRPr="00811EE0">
              <w:rPr>
                <w:rFonts w:cs="Times New Roman"/>
                <w:color w:val="000000"/>
                <w:sz w:val="20"/>
                <w:szCs w:val="20"/>
              </w:rPr>
              <w:t>EGP</w:t>
            </w:r>
            <w:r w:rsidRPr="00811EE0">
              <w:rPr>
                <w:rFonts w:cstheme="minorHAnsi"/>
                <w:sz w:val="20"/>
                <w:szCs w:val="20"/>
                <w:lang w:val="es"/>
              </w:rPr>
              <w:t xml:space="preserve"> de conformidad con los requerimientos de ética y protección de la independencia que son aplicables a nuestra auditoría de las cuentas anuales para el Sector Público según lo exigido por la normativa reguladora de la actividad de auditoría de cuentas de los Órganos de Control Externo y el artículo __ de la Ley reguladora del OCEX.</w:t>
            </w:r>
          </w:p>
          <w:p w14:paraId="054DB651" w14:textId="77777777" w:rsidR="000337ED" w:rsidRPr="00811EE0" w:rsidRDefault="000337ED" w:rsidP="005728D7">
            <w:pPr>
              <w:keepNext/>
              <w:keepLines/>
              <w:autoSpaceDE w:val="0"/>
              <w:autoSpaceDN w:val="0"/>
              <w:adjustRightInd w:val="0"/>
              <w:spacing w:before="120" w:after="120" w:line="240" w:lineRule="auto"/>
              <w:jc w:val="both"/>
              <w:rPr>
                <w:rFonts w:cstheme="minorHAnsi"/>
                <w:sz w:val="20"/>
                <w:szCs w:val="20"/>
                <w:lang w:val="es"/>
              </w:rPr>
            </w:pPr>
            <w:r w:rsidRPr="00811EE0">
              <w:rPr>
                <w:rFonts w:cstheme="minorHAnsi"/>
                <w:sz w:val="20"/>
                <w:szCs w:val="20"/>
                <w:lang w:val="es"/>
              </w:rPr>
              <w:t>Consideramos que la evidencia de auditoría que hemos obtenido proporciona una base suficiente y adecuada para nuestra opinión.</w:t>
            </w:r>
          </w:p>
        </w:tc>
      </w:tr>
      <w:tr w:rsidR="009A5E9D" w:rsidRPr="00811EE0" w14:paraId="53CEAD51" w14:textId="77777777" w:rsidTr="00050F46">
        <w:trPr>
          <w:gridAfter w:val="1"/>
          <w:wAfter w:w="8" w:type="dxa"/>
          <w:trHeight w:val="284"/>
          <w:jc w:val="center"/>
        </w:trPr>
        <w:tc>
          <w:tcPr>
            <w:tcW w:w="9191" w:type="dxa"/>
            <w:gridSpan w:val="2"/>
            <w:shd w:val="clear" w:color="000000" w:fill="FFFFFF"/>
          </w:tcPr>
          <w:p w14:paraId="3A924B20" w14:textId="5D8DCD38" w:rsidR="009A5E9D" w:rsidRPr="00811EE0" w:rsidRDefault="00663977" w:rsidP="000F0534">
            <w:pPr>
              <w:tabs>
                <w:tab w:val="left" w:pos="436"/>
              </w:tabs>
              <w:autoSpaceDE w:val="0"/>
              <w:autoSpaceDN w:val="0"/>
              <w:adjustRightInd w:val="0"/>
              <w:spacing w:before="120" w:after="120" w:line="240" w:lineRule="auto"/>
              <w:rPr>
                <w:b/>
                <w:sz w:val="18"/>
                <w:szCs w:val="18"/>
              </w:rPr>
            </w:pPr>
            <w:r w:rsidRPr="00811EE0">
              <w:rPr>
                <w:rFonts w:ascii="Calibri" w:hAnsi="Calibri" w:cs="Calibri"/>
                <w:b/>
                <w:bCs/>
                <w:color w:val="000000"/>
                <w:sz w:val="18"/>
                <w:szCs w:val="18"/>
                <w:lang w:val="es"/>
              </w:rPr>
              <w:t>4</w:t>
            </w:r>
            <w:r w:rsidR="009A5E9D" w:rsidRPr="00811EE0">
              <w:rPr>
                <w:b/>
                <w:sz w:val="18"/>
                <w:szCs w:val="18"/>
              </w:rPr>
              <w:tab/>
            </w:r>
            <w:proofErr w:type="gramStart"/>
            <w:r w:rsidR="000F0534" w:rsidRPr="00811EE0">
              <w:rPr>
                <w:b/>
                <w:sz w:val="18"/>
                <w:szCs w:val="18"/>
              </w:rPr>
              <w:t>Informe</w:t>
            </w:r>
            <w:proofErr w:type="gramEnd"/>
            <w:r w:rsidR="000F0534" w:rsidRPr="00811EE0">
              <w:rPr>
                <w:b/>
                <w:sz w:val="18"/>
                <w:szCs w:val="18"/>
              </w:rPr>
              <w:t xml:space="preserve"> sobre cumplimiento de legalidad</w:t>
            </w:r>
            <w:r w:rsidR="0031479C" w:rsidRPr="00811EE0">
              <w:rPr>
                <w:b/>
                <w:sz w:val="18"/>
                <w:szCs w:val="18"/>
              </w:rPr>
              <w:t xml:space="preserve"> en materia de contratación</w:t>
            </w:r>
          </w:p>
          <w:p w14:paraId="53CEAD50" w14:textId="33E472C3" w:rsidR="0031479C" w:rsidRPr="00811EE0" w:rsidRDefault="008C00B6" w:rsidP="000F0534">
            <w:pPr>
              <w:tabs>
                <w:tab w:val="left" w:pos="436"/>
              </w:tabs>
              <w:autoSpaceDE w:val="0"/>
              <w:autoSpaceDN w:val="0"/>
              <w:adjustRightInd w:val="0"/>
              <w:spacing w:before="120" w:after="120" w:line="240" w:lineRule="auto"/>
              <w:rPr>
                <w:b/>
                <w:sz w:val="18"/>
                <w:szCs w:val="18"/>
              </w:rPr>
            </w:pPr>
            <w:r w:rsidRPr="00811EE0">
              <w:rPr>
                <w:b/>
                <w:sz w:val="18"/>
                <w:szCs w:val="18"/>
              </w:rPr>
              <w:t>5</w:t>
            </w:r>
            <w:r w:rsidR="0091601F" w:rsidRPr="00811EE0">
              <w:rPr>
                <w:b/>
                <w:sz w:val="18"/>
                <w:szCs w:val="18"/>
              </w:rPr>
              <w:tab/>
            </w:r>
            <w:proofErr w:type="gramStart"/>
            <w:r w:rsidRPr="00811EE0">
              <w:rPr>
                <w:b/>
                <w:sz w:val="18"/>
                <w:szCs w:val="18"/>
              </w:rPr>
              <w:t>Informe</w:t>
            </w:r>
            <w:proofErr w:type="gramEnd"/>
            <w:r w:rsidRPr="00811EE0">
              <w:rPr>
                <w:b/>
                <w:sz w:val="18"/>
                <w:szCs w:val="18"/>
              </w:rPr>
              <w:t xml:space="preserve"> sobre otros requerimientos legales y reglamentarios</w:t>
            </w:r>
          </w:p>
        </w:tc>
      </w:tr>
      <w:tr w:rsidR="00480C1F" w:rsidRPr="00811EE0" w14:paraId="46620E57" w14:textId="77777777" w:rsidTr="0031479C">
        <w:trPr>
          <w:gridAfter w:val="1"/>
          <w:wAfter w:w="8" w:type="dxa"/>
          <w:trHeight w:val="600"/>
          <w:jc w:val="center"/>
        </w:trPr>
        <w:tc>
          <w:tcPr>
            <w:tcW w:w="9191" w:type="dxa"/>
            <w:gridSpan w:val="2"/>
            <w:shd w:val="clear" w:color="000000" w:fill="FFFFFF"/>
          </w:tcPr>
          <w:p w14:paraId="5C93B3D9" w14:textId="0E69EA89" w:rsidR="00480C1F" w:rsidRPr="00811EE0" w:rsidRDefault="0091601F" w:rsidP="009C520F">
            <w:pPr>
              <w:tabs>
                <w:tab w:val="left" w:pos="436"/>
              </w:tabs>
              <w:autoSpaceDE w:val="0"/>
              <w:autoSpaceDN w:val="0"/>
              <w:adjustRightInd w:val="0"/>
              <w:spacing w:before="120" w:after="120" w:line="240" w:lineRule="auto"/>
              <w:ind w:left="438" w:hanging="438"/>
              <w:rPr>
                <w:rFonts w:ascii="Calibri" w:hAnsi="Calibri" w:cs="Calibri"/>
                <w:b/>
                <w:bCs/>
                <w:color w:val="000000"/>
                <w:sz w:val="18"/>
                <w:szCs w:val="18"/>
                <w:lang w:val="es"/>
              </w:rPr>
            </w:pPr>
            <w:r w:rsidRPr="00811EE0">
              <w:rPr>
                <w:rFonts w:ascii="Calibri" w:hAnsi="Calibri" w:cs="Calibri"/>
                <w:b/>
                <w:bCs/>
                <w:color w:val="000000"/>
                <w:sz w:val="18"/>
                <w:szCs w:val="18"/>
                <w:lang w:val="es"/>
              </w:rPr>
              <w:t>6</w:t>
            </w:r>
            <w:r w:rsidR="00480C1F" w:rsidRPr="00811EE0">
              <w:rPr>
                <w:rFonts w:ascii="Calibri" w:hAnsi="Calibri" w:cs="Calibri"/>
                <w:b/>
                <w:bCs/>
                <w:color w:val="000000"/>
                <w:sz w:val="18"/>
                <w:szCs w:val="18"/>
                <w:lang w:val="es"/>
              </w:rPr>
              <w:tab/>
            </w:r>
            <w:proofErr w:type="gramStart"/>
            <w:r w:rsidR="00480C1F" w:rsidRPr="00811EE0">
              <w:rPr>
                <w:rFonts w:ascii="Calibri" w:hAnsi="Calibri" w:cs="Calibri"/>
                <w:b/>
                <w:bCs/>
                <w:color w:val="000000"/>
                <w:sz w:val="18"/>
                <w:szCs w:val="18"/>
                <w:lang w:val="es"/>
              </w:rPr>
              <w:t>Responsabilidad</w:t>
            </w:r>
            <w:proofErr w:type="gramEnd"/>
            <w:r w:rsidR="00480C1F" w:rsidRPr="00811EE0">
              <w:rPr>
                <w:rFonts w:ascii="Calibri" w:hAnsi="Calibri" w:cs="Calibri"/>
                <w:b/>
                <w:bCs/>
                <w:color w:val="000000"/>
                <w:sz w:val="18"/>
                <w:szCs w:val="18"/>
                <w:lang w:val="es"/>
              </w:rPr>
              <w:t xml:space="preserve"> de los administradores de EGP en relación con las cuentas anuales</w:t>
            </w:r>
            <w:r w:rsidR="00C83B5E" w:rsidRPr="00811EE0">
              <w:rPr>
                <w:rFonts w:ascii="Calibri" w:hAnsi="Calibri" w:cs="Calibri"/>
                <w:b/>
                <w:bCs/>
                <w:color w:val="000000"/>
                <w:sz w:val="18"/>
                <w:szCs w:val="18"/>
                <w:lang w:val="es"/>
              </w:rPr>
              <w:t xml:space="preserve"> y con el cumplimiento de la legalidad</w:t>
            </w:r>
          </w:p>
          <w:p w14:paraId="66939257" w14:textId="03B95425" w:rsidR="00480C1F" w:rsidRPr="00811EE0" w:rsidRDefault="009C520F" w:rsidP="009C520F">
            <w:pPr>
              <w:tabs>
                <w:tab w:val="left" w:pos="436"/>
              </w:tabs>
              <w:autoSpaceDE w:val="0"/>
              <w:autoSpaceDN w:val="0"/>
              <w:adjustRightInd w:val="0"/>
              <w:spacing w:before="120" w:after="120" w:line="240" w:lineRule="auto"/>
              <w:rPr>
                <w:rFonts w:ascii="Calibri" w:hAnsi="Calibri" w:cs="Calibri"/>
                <w:b/>
                <w:bCs/>
                <w:color w:val="000000"/>
                <w:sz w:val="18"/>
                <w:szCs w:val="18"/>
                <w:lang w:val="es"/>
              </w:rPr>
            </w:pPr>
            <w:r w:rsidRPr="00811EE0">
              <w:rPr>
                <w:rFonts w:ascii="Calibri" w:hAnsi="Calibri"/>
                <w:b/>
                <w:sz w:val="18"/>
                <w:szCs w:val="18"/>
                <w:lang w:val="es"/>
              </w:rPr>
              <w:t>7</w:t>
            </w:r>
            <w:r w:rsidRPr="00811EE0">
              <w:rPr>
                <w:b/>
                <w:sz w:val="18"/>
                <w:szCs w:val="18"/>
              </w:rPr>
              <w:tab/>
            </w:r>
            <w:proofErr w:type="gramStart"/>
            <w:r w:rsidRPr="00811EE0">
              <w:rPr>
                <w:rFonts w:ascii="Calibri" w:hAnsi="Calibri" w:cs="Calibri"/>
                <w:b/>
                <w:bCs/>
                <w:iCs/>
                <w:sz w:val="18"/>
                <w:szCs w:val="18"/>
                <w:lang w:val="es"/>
              </w:rPr>
              <w:t>Responsabilidad</w:t>
            </w:r>
            <w:proofErr w:type="gramEnd"/>
            <w:r w:rsidRPr="00811EE0">
              <w:rPr>
                <w:rFonts w:ascii="Calibri" w:hAnsi="Calibri" w:cs="Calibri"/>
                <w:b/>
                <w:bCs/>
                <w:iCs/>
                <w:sz w:val="18"/>
                <w:szCs w:val="18"/>
                <w:lang w:val="es"/>
              </w:rPr>
              <w:t xml:space="preserve"> del OCEX en relación con la fiscalización efectuada</w:t>
            </w:r>
          </w:p>
        </w:tc>
      </w:tr>
      <w:tr w:rsidR="009A5E9D" w:rsidRPr="00811EE0" w14:paraId="53CEAD67" w14:textId="77777777" w:rsidTr="00050F46">
        <w:trPr>
          <w:gridAfter w:val="1"/>
          <w:wAfter w:w="8" w:type="dxa"/>
          <w:trHeight w:val="284"/>
          <w:jc w:val="center"/>
        </w:trPr>
        <w:tc>
          <w:tcPr>
            <w:tcW w:w="9191" w:type="dxa"/>
            <w:gridSpan w:val="2"/>
            <w:shd w:val="clear" w:color="000000" w:fill="FFFFFF"/>
          </w:tcPr>
          <w:p w14:paraId="53CEAD65" w14:textId="7289F788" w:rsidR="009A5E9D" w:rsidRPr="00811EE0" w:rsidRDefault="009C520F" w:rsidP="00196FE7">
            <w:pPr>
              <w:spacing w:before="120" w:after="120" w:line="240" w:lineRule="auto"/>
              <w:ind w:left="436" w:hanging="436"/>
              <w:jc w:val="both"/>
              <w:rPr>
                <w:b/>
                <w:sz w:val="18"/>
                <w:szCs w:val="18"/>
              </w:rPr>
            </w:pPr>
            <w:r w:rsidRPr="00811EE0">
              <w:rPr>
                <w:rFonts w:ascii="Calibri" w:hAnsi="Calibri" w:cs="Calibri"/>
                <w:b/>
                <w:bCs/>
                <w:color w:val="000000"/>
                <w:sz w:val="18"/>
                <w:szCs w:val="18"/>
                <w:lang w:val="es"/>
              </w:rPr>
              <w:t>8</w:t>
            </w:r>
            <w:r w:rsidR="009A5E9D" w:rsidRPr="00811EE0">
              <w:rPr>
                <w:b/>
                <w:sz w:val="18"/>
                <w:szCs w:val="18"/>
              </w:rPr>
              <w:tab/>
            </w:r>
            <w:proofErr w:type="gramStart"/>
            <w:r w:rsidR="009A5E9D" w:rsidRPr="00811EE0">
              <w:rPr>
                <w:b/>
                <w:sz w:val="18"/>
                <w:szCs w:val="18"/>
              </w:rPr>
              <w:t>Recomendaciones</w:t>
            </w:r>
            <w:proofErr w:type="gramEnd"/>
          </w:p>
          <w:p w14:paraId="53CEAD66" w14:textId="7D9D5B50" w:rsidR="009A5E9D" w:rsidRPr="00811EE0" w:rsidRDefault="009C520F" w:rsidP="001128AD">
            <w:pPr>
              <w:spacing w:before="120" w:after="120" w:line="240" w:lineRule="auto"/>
              <w:ind w:left="436" w:hanging="436"/>
              <w:jc w:val="both"/>
              <w:rPr>
                <w:b/>
                <w:sz w:val="18"/>
                <w:szCs w:val="18"/>
              </w:rPr>
            </w:pPr>
            <w:r w:rsidRPr="00811EE0">
              <w:rPr>
                <w:rFonts w:ascii="Calibri" w:hAnsi="Calibri" w:cs="Calibri"/>
                <w:b/>
                <w:bCs/>
                <w:color w:val="000000"/>
                <w:sz w:val="18"/>
                <w:szCs w:val="18"/>
                <w:lang w:val="es"/>
              </w:rPr>
              <w:t>9</w:t>
            </w:r>
            <w:r w:rsidR="009A5E9D" w:rsidRPr="00811EE0">
              <w:rPr>
                <w:b/>
                <w:sz w:val="18"/>
                <w:szCs w:val="18"/>
              </w:rPr>
              <w:tab/>
            </w:r>
            <w:proofErr w:type="gramStart"/>
            <w:r w:rsidR="009A5E9D" w:rsidRPr="00811EE0">
              <w:rPr>
                <w:b/>
                <w:sz w:val="18"/>
                <w:szCs w:val="18"/>
              </w:rPr>
              <w:t>Alegaciones</w:t>
            </w:r>
            <w:proofErr w:type="gramEnd"/>
          </w:p>
        </w:tc>
      </w:tr>
      <w:tr w:rsidR="009A5E9D" w:rsidRPr="009A5E9D" w14:paraId="53CEAD6A" w14:textId="77777777" w:rsidTr="009C520F">
        <w:trPr>
          <w:gridAfter w:val="1"/>
          <w:wAfter w:w="8" w:type="dxa"/>
          <w:trHeight w:val="560"/>
          <w:jc w:val="center"/>
        </w:trPr>
        <w:tc>
          <w:tcPr>
            <w:tcW w:w="9191" w:type="dxa"/>
            <w:gridSpan w:val="2"/>
            <w:shd w:val="clear" w:color="000000" w:fill="FFFFFF"/>
          </w:tcPr>
          <w:p w14:paraId="53CEAD68" w14:textId="77777777" w:rsidR="009A5E9D" w:rsidRPr="00811EE0" w:rsidRDefault="009A5E9D" w:rsidP="00050F46">
            <w:pPr>
              <w:pStyle w:val="Textoindependiente"/>
              <w:spacing w:before="0" w:line="240" w:lineRule="auto"/>
              <w:rPr>
                <w:rFonts w:asciiTheme="minorHAnsi" w:hAnsiTheme="minorHAnsi"/>
                <w:b/>
                <w:sz w:val="18"/>
                <w:szCs w:val="18"/>
              </w:rPr>
            </w:pPr>
            <w:r w:rsidRPr="00811EE0">
              <w:rPr>
                <w:rFonts w:asciiTheme="minorHAnsi" w:hAnsiTheme="minorHAnsi"/>
                <w:b/>
                <w:sz w:val="18"/>
                <w:szCs w:val="18"/>
              </w:rPr>
              <w:t xml:space="preserve">Firma del </w:t>
            </w:r>
            <w:r w:rsidR="004807B8" w:rsidRPr="00811EE0">
              <w:rPr>
                <w:rFonts w:asciiTheme="minorHAnsi" w:hAnsiTheme="minorHAnsi"/>
                <w:b/>
                <w:sz w:val="18"/>
                <w:szCs w:val="18"/>
              </w:rPr>
              <w:t>responsable</w:t>
            </w:r>
            <w:r w:rsidR="00955D5D" w:rsidRPr="00811EE0">
              <w:rPr>
                <w:rFonts w:asciiTheme="minorHAnsi" w:hAnsiTheme="minorHAnsi"/>
                <w:b/>
                <w:sz w:val="18"/>
                <w:szCs w:val="18"/>
              </w:rPr>
              <w:t xml:space="preserve"> del OCEX</w:t>
            </w:r>
          </w:p>
          <w:p w14:paraId="53CEAD69" w14:textId="720A0567" w:rsidR="009A5E9D" w:rsidRPr="004F4518" w:rsidRDefault="001128AD" w:rsidP="00050F46">
            <w:pPr>
              <w:pStyle w:val="Textoindependiente"/>
              <w:spacing w:before="0" w:line="240" w:lineRule="auto"/>
              <w:rPr>
                <w:rFonts w:asciiTheme="minorHAnsi" w:hAnsiTheme="minorHAnsi"/>
                <w:sz w:val="18"/>
                <w:szCs w:val="18"/>
              </w:rPr>
            </w:pPr>
            <w:r w:rsidRPr="00811EE0">
              <w:rPr>
                <w:rFonts w:ascii="Calibri" w:hAnsi="Calibri" w:cs="Calibri"/>
                <w:b/>
                <w:bCs/>
                <w:sz w:val="18"/>
                <w:szCs w:val="18"/>
                <w:lang w:val="es"/>
              </w:rPr>
              <w:t>Fecha y l</w:t>
            </w:r>
            <w:r w:rsidRPr="00811EE0">
              <w:rPr>
                <w:rFonts w:ascii="Calibri" w:hAnsi="Calibri" w:cs="Calibri"/>
                <w:b/>
                <w:bCs/>
                <w:spacing w:val="2"/>
                <w:sz w:val="18"/>
                <w:szCs w:val="18"/>
                <w:lang w:val="es"/>
              </w:rPr>
              <w:t>ugar de emisión</w:t>
            </w:r>
          </w:p>
        </w:tc>
      </w:tr>
    </w:tbl>
    <w:p w14:paraId="53CEAD6B" w14:textId="77777777" w:rsidR="009A5E9D" w:rsidRPr="001128AD" w:rsidRDefault="009A5E9D" w:rsidP="00050F46">
      <w:pPr>
        <w:spacing w:after="0" w:line="240" w:lineRule="auto"/>
        <w:rPr>
          <w:rFonts w:cs="Times New Roman"/>
          <w:sz w:val="12"/>
          <w:szCs w:val="20"/>
        </w:rPr>
      </w:pPr>
    </w:p>
    <w:sectPr w:rsidR="009A5E9D" w:rsidRPr="001128AD" w:rsidSect="002B0E31">
      <w:headerReference w:type="default" r:id="rId8"/>
      <w:footerReference w:type="default" r:id="rId9"/>
      <w:headerReference w:type="first" r:id="rId10"/>
      <w:footerReference w:type="first" r:id="rId11"/>
      <w:pgSz w:w="11906" w:h="16838" w:code="9"/>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09B23" w14:textId="77777777" w:rsidR="009B29AF" w:rsidRDefault="009B29AF" w:rsidP="00031822">
      <w:pPr>
        <w:spacing w:after="0" w:line="240" w:lineRule="auto"/>
      </w:pPr>
      <w:r>
        <w:separator/>
      </w:r>
    </w:p>
  </w:endnote>
  <w:endnote w:type="continuationSeparator" w:id="0">
    <w:p w14:paraId="59CEB741" w14:textId="77777777" w:rsidR="009B29AF" w:rsidRDefault="009B29AF" w:rsidP="0003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03567981"/>
      <w:docPartObj>
        <w:docPartGallery w:val="Page Numbers (Bottom of Page)"/>
        <w:docPartUnique/>
      </w:docPartObj>
    </w:sdtPr>
    <w:sdtEndPr/>
    <w:sdtContent>
      <w:p w14:paraId="53CEAD75" w14:textId="77777777" w:rsidR="00E017CC" w:rsidRPr="00E017CC" w:rsidRDefault="00E017CC">
        <w:pPr>
          <w:pStyle w:val="Piedepgina"/>
          <w:jc w:val="center"/>
          <w:rPr>
            <w:sz w:val="20"/>
          </w:rPr>
        </w:pPr>
        <w:r w:rsidRPr="00E017CC">
          <w:rPr>
            <w:sz w:val="20"/>
          </w:rPr>
          <w:fldChar w:fldCharType="begin"/>
        </w:r>
        <w:r w:rsidRPr="00E017CC">
          <w:rPr>
            <w:sz w:val="20"/>
          </w:rPr>
          <w:instrText>PAGE   \* MERGEFORMAT</w:instrText>
        </w:r>
        <w:r w:rsidRPr="00E017CC">
          <w:rPr>
            <w:sz w:val="20"/>
          </w:rPr>
          <w:fldChar w:fldCharType="separate"/>
        </w:r>
        <w:r w:rsidR="00A13324">
          <w:rPr>
            <w:noProof/>
            <w:sz w:val="20"/>
          </w:rPr>
          <w:t>12</w:t>
        </w:r>
        <w:r w:rsidRPr="00E017C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453599"/>
      <w:docPartObj>
        <w:docPartGallery w:val="Page Numbers (Bottom of Page)"/>
        <w:docPartUnique/>
      </w:docPartObj>
    </w:sdtPr>
    <w:sdtEndPr/>
    <w:sdtContent>
      <w:p w14:paraId="53CEAD7B" w14:textId="77777777" w:rsidR="00DD464D" w:rsidRDefault="00DD464D">
        <w:pPr>
          <w:pStyle w:val="Piedepgina"/>
          <w:jc w:val="center"/>
        </w:pPr>
        <w:r>
          <w:fldChar w:fldCharType="begin"/>
        </w:r>
        <w:r>
          <w:instrText>PAGE   \* MERGEFORMAT</w:instrText>
        </w:r>
        <w:r>
          <w:fldChar w:fldCharType="separate"/>
        </w:r>
        <w:r w:rsidR="00A1332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11001" w14:textId="77777777" w:rsidR="009B29AF" w:rsidRDefault="009B29AF" w:rsidP="00031822">
      <w:pPr>
        <w:spacing w:after="0" w:line="240" w:lineRule="auto"/>
      </w:pPr>
      <w:r>
        <w:separator/>
      </w:r>
    </w:p>
  </w:footnote>
  <w:footnote w:type="continuationSeparator" w:id="0">
    <w:p w14:paraId="06FB649B" w14:textId="77777777" w:rsidR="009B29AF" w:rsidRDefault="009B29AF" w:rsidP="00031822">
      <w:pPr>
        <w:spacing w:after="0" w:line="240" w:lineRule="auto"/>
      </w:pPr>
      <w:r>
        <w:continuationSeparator/>
      </w:r>
    </w:p>
  </w:footnote>
  <w:footnote w:id="1">
    <w:p w14:paraId="53CEAD7C" w14:textId="77777777" w:rsidR="00D4520D" w:rsidRPr="00D4520D" w:rsidRDefault="00D4520D" w:rsidP="004F4518">
      <w:pPr>
        <w:pStyle w:val="Textonotapie"/>
        <w:spacing w:before="60"/>
        <w:ind w:left="284" w:hanging="284"/>
        <w:rPr>
          <w:sz w:val="18"/>
          <w:szCs w:val="18"/>
        </w:rPr>
      </w:pPr>
      <w:r w:rsidRPr="00D4520D">
        <w:rPr>
          <w:rStyle w:val="Refdenotaalpie"/>
          <w:sz w:val="18"/>
          <w:szCs w:val="18"/>
        </w:rPr>
        <w:footnoteRef/>
      </w:r>
      <w:r w:rsidRPr="00D4520D">
        <w:rPr>
          <w:sz w:val="18"/>
          <w:szCs w:val="18"/>
        </w:rPr>
        <w:t xml:space="preserve"> </w:t>
      </w:r>
      <w:r w:rsidR="009D06D2">
        <w:rPr>
          <w:sz w:val="18"/>
          <w:szCs w:val="18"/>
        </w:rPr>
        <w:tab/>
      </w:r>
      <w:r w:rsidRPr="00D4520D">
        <w:rPr>
          <w:sz w:val="18"/>
          <w:szCs w:val="18"/>
        </w:rPr>
        <w:t>Porque considere que está relacionado y es relevante para que los usuarios entiendan el estado financiero, el elemento auditado o el correspondiente informe de auditoría. (NIA805; A17) (ISSAI 1805; P9).</w:t>
      </w:r>
    </w:p>
  </w:footnote>
  <w:footnote w:id="2">
    <w:p w14:paraId="53CEAD7D" w14:textId="77777777" w:rsidR="00FA2504" w:rsidRPr="00D4520D" w:rsidRDefault="00FA2504" w:rsidP="004F4518">
      <w:pPr>
        <w:pStyle w:val="Textonotapie"/>
        <w:spacing w:before="60"/>
        <w:ind w:left="284" w:hanging="284"/>
        <w:rPr>
          <w:sz w:val="18"/>
          <w:szCs w:val="18"/>
        </w:rPr>
      </w:pPr>
      <w:r w:rsidRPr="00D4520D">
        <w:rPr>
          <w:rStyle w:val="Refdenotaalpie"/>
          <w:sz w:val="18"/>
          <w:szCs w:val="18"/>
        </w:rPr>
        <w:footnoteRef/>
      </w:r>
      <w:r w:rsidRPr="00D4520D">
        <w:rPr>
          <w:sz w:val="18"/>
          <w:szCs w:val="18"/>
        </w:rPr>
        <w:t xml:space="preserve"> </w:t>
      </w:r>
      <w:r w:rsidR="004F4518">
        <w:rPr>
          <w:sz w:val="18"/>
          <w:szCs w:val="18"/>
        </w:rPr>
        <w:tab/>
      </w:r>
      <w:r w:rsidRPr="00D4520D">
        <w:rPr>
          <w:sz w:val="18"/>
          <w:szCs w:val="18"/>
        </w:rPr>
        <w:t xml:space="preserve">En la ISSAI-ES </w:t>
      </w:r>
      <w:r w:rsidR="007951F9">
        <w:rPr>
          <w:sz w:val="18"/>
          <w:szCs w:val="18"/>
        </w:rPr>
        <w:t xml:space="preserve">200 </w:t>
      </w:r>
      <w:r w:rsidRPr="00D4520D">
        <w:rPr>
          <w:sz w:val="18"/>
          <w:szCs w:val="18"/>
        </w:rPr>
        <w:t xml:space="preserve">original hay una errata en el párrafo 170 </w:t>
      </w:r>
      <w:proofErr w:type="gramStart"/>
      <w:r w:rsidRPr="00D4520D">
        <w:rPr>
          <w:sz w:val="18"/>
          <w:szCs w:val="18"/>
        </w:rPr>
        <w:t>y  pone</w:t>
      </w:r>
      <w:proofErr w:type="gramEnd"/>
      <w:r w:rsidRPr="00D4520D">
        <w:rPr>
          <w:sz w:val="18"/>
          <w:szCs w:val="18"/>
        </w:rPr>
        <w:t xml:space="preserve"> “opinión con salvedades” pero debe poner “opinión desfavorable”.</w:t>
      </w:r>
    </w:p>
  </w:footnote>
  <w:footnote w:id="3">
    <w:p w14:paraId="53CEAD7E" w14:textId="0412B971" w:rsidR="00D4520D" w:rsidRPr="00D4520D" w:rsidRDefault="00D4520D" w:rsidP="004F4518">
      <w:pPr>
        <w:pStyle w:val="Textonotapie"/>
        <w:spacing w:before="60"/>
        <w:ind w:left="284" w:hanging="284"/>
        <w:rPr>
          <w:sz w:val="18"/>
          <w:szCs w:val="18"/>
        </w:rPr>
      </w:pPr>
      <w:r w:rsidRPr="00D4520D">
        <w:rPr>
          <w:rStyle w:val="Refdenotaalpie"/>
          <w:sz w:val="18"/>
          <w:szCs w:val="18"/>
        </w:rPr>
        <w:footnoteRef/>
      </w:r>
      <w:r w:rsidRPr="00D4520D">
        <w:rPr>
          <w:sz w:val="18"/>
          <w:szCs w:val="18"/>
        </w:rPr>
        <w:t xml:space="preserve"> </w:t>
      </w:r>
      <w:r w:rsidR="004F4518">
        <w:rPr>
          <w:sz w:val="18"/>
          <w:szCs w:val="18"/>
        </w:rPr>
        <w:tab/>
      </w:r>
      <w:r w:rsidRPr="00D4520D">
        <w:rPr>
          <w:sz w:val="18"/>
          <w:szCs w:val="18"/>
        </w:rPr>
        <w:t>Ver NIA-ES</w:t>
      </w:r>
      <w:r w:rsidR="000178E5">
        <w:rPr>
          <w:sz w:val="18"/>
          <w:szCs w:val="18"/>
        </w:rPr>
        <w:t>-SP</w:t>
      </w:r>
      <w:r w:rsidRPr="00D4520D">
        <w:rPr>
          <w:sz w:val="18"/>
          <w:szCs w:val="18"/>
        </w:rPr>
        <w:t xml:space="preserve"> </w:t>
      </w:r>
      <w:r w:rsidR="000178E5">
        <w:rPr>
          <w:sz w:val="18"/>
          <w:szCs w:val="18"/>
        </w:rPr>
        <w:t>1</w:t>
      </w:r>
      <w:r w:rsidRPr="00D4520D">
        <w:rPr>
          <w:sz w:val="18"/>
          <w:szCs w:val="18"/>
        </w:rPr>
        <w:t>705, apartado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AD71" w14:textId="77777777" w:rsidR="001D50D2" w:rsidRPr="002B0E31" w:rsidRDefault="001D50D2" w:rsidP="002B0E31">
    <w:pPr>
      <w:pBdr>
        <w:top w:val="single" w:sz="18" w:space="1" w:color="999999"/>
        <w:bottom w:val="single" w:sz="18" w:space="1" w:color="999999"/>
      </w:pBdr>
      <w:tabs>
        <w:tab w:val="center" w:pos="4252"/>
        <w:tab w:val="right" w:pos="8504"/>
      </w:tabs>
      <w:spacing w:before="120" w:after="0" w:line="240" w:lineRule="auto"/>
      <w:ind w:left="1560" w:right="-144" w:hanging="1560"/>
      <w:rPr>
        <w:rFonts w:cs="Arial"/>
        <w:b/>
        <w:color w:val="7F7F7F" w:themeColor="text1" w:themeTint="80"/>
      </w:rPr>
    </w:pPr>
    <w:r w:rsidRPr="002B0E31">
      <w:rPr>
        <w:rFonts w:cs="Arial"/>
        <w:b/>
        <w:color w:val="7F7F7F" w:themeColor="text1" w:themeTint="80"/>
      </w:rPr>
      <w:t>Guía práctica de fiscalización de los OCEX</w:t>
    </w:r>
  </w:p>
  <w:p w14:paraId="53CEAD72" w14:textId="0028682F" w:rsidR="00031822" w:rsidRPr="002B0E31" w:rsidRDefault="00050F46" w:rsidP="002B0E31">
    <w:pPr>
      <w:pStyle w:val="Encabezado"/>
      <w:pBdr>
        <w:top w:val="single" w:sz="18" w:space="1" w:color="999999"/>
        <w:bottom w:val="single" w:sz="18" w:space="1" w:color="999999"/>
      </w:pBdr>
      <w:tabs>
        <w:tab w:val="clear" w:pos="8504"/>
      </w:tabs>
      <w:spacing w:before="120"/>
      <w:ind w:left="1560" w:right="-144" w:hanging="1560"/>
      <w:rPr>
        <w:rFonts w:cs="Arial"/>
        <w:b/>
        <w:bCs/>
        <w:color w:val="7F7F7F" w:themeColor="text1" w:themeTint="80"/>
      </w:rPr>
    </w:pPr>
    <w:r w:rsidRPr="002B0E31">
      <w:rPr>
        <w:rFonts w:cs="Arial"/>
        <w:b/>
        <w:bCs/>
        <w:color w:val="7F7F7F" w:themeColor="text1" w:themeTint="80"/>
      </w:rPr>
      <w:t>GPF-OCEX 1805</w:t>
    </w:r>
    <w:r w:rsidR="00031822" w:rsidRPr="002B0E31">
      <w:rPr>
        <w:rFonts w:cs="Arial"/>
        <w:b/>
        <w:bCs/>
        <w:color w:val="7F7F7F" w:themeColor="text1" w:themeTint="80"/>
      </w:rPr>
      <w:tab/>
    </w:r>
    <w:r w:rsidR="00F21EDD" w:rsidRPr="002B0E31">
      <w:rPr>
        <w:rFonts w:cs="Arial"/>
        <w:b/>
        <w:bCs/>
        <w:color w:val="7F7F7F" w:themeColor="text1" w:themeTint="80"/>
      </w:rPr>
      <w:t>Preparación de informes de auditoría. Consideraciones especiales. Auditorías de un solo estado financiero o de un elemento, cuenta o partida espec</w:t>
    </w:r>
    <w:r w:rsidRPr="002B0E31">
      <w:rPr>
        <w:rFonts w:cs="Arial"/>
        <w:b/>
        <w:bCs/>
        <w:color w:val="7F7F7F" w:themeColor="text1" w:themeTint="80"/>
      </w:rPr>
      <w:t xml:space="preserve">íficos de un estado financiero </w:t>
    </w:r>
  </w:p>
  <w:p w14:paraId="53CEAD73" w14:textId="77777777" w:rsidR="00F94685" w:rsidRPr="00E017CC" w:rsidRDefault="00F94685" w:rsidP="00F94685">
    <w:pPr>
      <w:pStyle w:val="Encabezado"/>
      <w:tabs>
        <w:tab w:val="clear" w:pos="8504"/>
      </w:tabs>
      <w:ind w:left="1418" w:right="-57" w:hanging="1418"/>
      <w:rPr>
        <w:rFonts w:cs="Arial"/>
        <w:b/>
        <w:bCs/>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AD76" w14:textId="77777777" w:rsidR="001D50D2" w:rsidRPr="002B0E31" w:rsidRDefault="001D50D2" w:rsidP="006F32C7">
    <w:pPr>
      <w:pStyle w:val="Encabezado"/>
      <w:pBdr>
        <w:top w:val="single" w:sz="18" w:space="1" w:color="999999"/>
        <w:bottom w:val="single" w:sz="18" w:space="1" w:color="999999"/>
      </w:pBdr>
      <w:tabs>
        <w:tab w:val="clear" w:pos="4252"/>
        <w:tab w:val="clear" w:pos="8504"/>
      </w:tabs>
      <w:spacing w:before="120"/>
      <w:ind w:left="1418" w:right="-2" w:hanging="1418"/>
      <w:rPr>
        <w:rFonts w:cs="Arial"/>
        <w:b/>
        <w:bCs/>
        <w:color w:val="000000"/>
        <w:sz w:val="24"/>
        <w:szCs w:val="24"/>
      </w:rPr>
    </w:pPr>
    <w:r w:rsidRPr="002B0E31">
      <w:rPr>
        <w:rFonts w:cs="Arial"/>
        <w:b/>
        <w:bCs/>
        <w:color w:val="000000"/>
        <w:sz w:val="24"/>
        <w:szCs w:val="24"/>
      </w:rPr>
      <w:t>Guía práctica de fiscalización de los OCEX</w:t>
    </w:r>
  </w:p>
  <w:p w14:paraId="53CEAD77" w14:textId="27AC505C" w:rsidR="00031822" w:rsidRPr="002B0E31" w:rsidRDefault="00050F46" w:rsidP="006F32C7">
    <w:pPr>
      <w:pStyle w:val="Encabezado"/>
      <w:pBdr>
        <w:top w:val="single" w:sz="18" w:space="1" w:color="999999"/>
        <w:bottom w:val="single" w:sz="18" w:space="1" w:color="999999"/>
      </w:pBdr>
      <w:tabs>
        <w:tab w:val="clear" w:pos="4252"/>
        <w:tab w:val="clear" w:pos="8504"/>
      </w:tabs>
      <w:spacing w:before="120"/>
      <w:ind w:left="1701" w:right="-2" w:hanging="1701"/>
      <w:rPr>
        <w:rFonts w:cs="Arial"/>
        <w:b/>
        <w:bCs/>
        <w:color w:val="000000"/>
        <w:sz w:val="24"/>
        <w:szCs w:val="24"/>
      </w:rPr>
    </w:pPr>
    <w:r w:rsidRPr="002B0E31">
      <w:rPr>
        <w:rFonts w:cs="Arial"/>
        <w:b/>
        <w:bCs/>
        <w:caps/>
        <w:color w:val="000000"/>
        <w:sz w:val="24"/>
        <w:szCs w:val="24"/>
      </w:rPr>
      <w:t>gpf-ocex</w:t>
    </w:r>
    <w:r w:rsidR="00031822" w:rsidRPr="002B0E31">
      <w:rPr>
        <w:rFonts w:cs="Arial"/>
        <w:b/>
        <w:bCs/>
        <w:color w:val="000000"/>
        <w:sz w:val="24"/>
        <w:szCs w:val="24"/>
      </w:rPr>
      <w:t xml:space="preserve"> 1805</w:t>
    </w:r>
    <w:r w:rsidR="00031822" w:rsidRPr="002B0E31">
      <w:rPr>
        <w:rFonts w:cs="Arial"/>
        <w:b/>
        <w:bCs/>
        <w:color w:val="000000"/>
        <w:sz w:val="24"/>
        <w:szCs w:val="24"/>
      </w:rPr>
      <w:tab/>
    </w:r>
    <w:r w:rsidR="00F21EDD" w:rsidRPr="002B0E31">
      <w:rPr>
        <w:rFonts w:cs="Arial"/>
        <w:b/>
        <w:bCs/>
        <w:color w:val="000000"/>
        <w:sz w:val="24"/>
        <w:szCs w:val="24"/>
      </w:rPr>
      <w:t xml:space="preserve">Preparación de informes de auditoría financiera. </w:t>
    </w:r>
    <w:r w:rsidR="00031822" w:rsidRPr="002B0E31">
      <w:rPr>
        <w:rFonts w:cs="Arial"/>
        <w:b/>
        <w:bCs/>
        <w:color w:val="000000"/>
        <w:sz w:val="24"/>
        <w:szCs w:val="24"/>
      </w:rPr>
      <w:t>Consideraciones especiales</w:t>
    </w:r>
    <w:r w:rsidR="00F21EDD" w:rsidRPr="002B0E31">
      <w:rPr>
        <w:rFonts w:cs="Arial"/>
        <w:b/>
        <w:bCs/>
        <w:color w:val="000000"/>
        <w:sz w:val="24"/>
        <w:szCs w:val="24"/>
      </w:rPr>
      <w:t>.</w:t>
    </w:r>
    <w:r w:rsidR="00031822" w:rsidRPr="002B0E31">
      <w:rPr>
        <w:rFonts w:cs="Arial"/>
        <w:b/>
        <w:bCs/>
        <w:color w:val="000000"/>
        <w:sz w:val="24"/>
        <w:szCs w:val="24"/>
      </w:rPr>
      <w:t xml:space="preserve"> </w:t>
    </w:r>
    <w:r w:rsidR="00F21EDD" w:rsidRPr="002B0E31">
      <w:rPr>
        <w:rFonts w:cs="Arial"/>
        <w:b/>
        <w:bCs/>
        <w:color w:val="000000"/>
        <w:sz w:val="24"/>
        <w:szCs w:val="24"/>
      </w:rPr>
      <w:t>A</w:t>
    </w:r>
    <w:r w:rsidR="00031822" w:rsidRPr="002B0E31">
      <w:rPr>
        <w:rFonts w:cs="Arial"/>
        <w:b/>
        <w:bCs/>
        <w:color w:val="000000"/>
        <w:sz w:val="24"/>
        <w:szCs w:val="24"/>
      </w:rPr>
      <w:t>uditorías de un solo estado financiero o de un elemento, cuenta o partida específicos de un estado financiero</w:t>
    </w:r>
    <w:r w:rsidR="00F21EDD" w:rsidRPr="002B0E31">
      <w:rPr>
        <w:rFonts w:cs="Arial"/>
        <w:b/>
        <w:bCs/>
        <w:color w:val="000000"/>
        <w:sz w:val="24"/>
        <w:szCs w:val="24"/>
      </w:rPr>
      <w:t xml:space="preserve"> (NIA 805)</w:t>
    </w:r>
  </w:p>
  <w:p w14:paraId="53CEAD78" w14:textId="3AB629B2" w:rsidR="00031822" w:rsidRPr="002B0E31" w:rsidRDefault="00031822" w:rsidP="006F32C7">
    <w:pPr>
      <w:pStyle w:val="Encabezado"/>
      <w:pBdr>
        <w:top w:val="single" w:sz="18" w:space="1" w:color="999999"/>
        <w:bottom w:val="single" w:sz="18" w:space="1" w:color="999999"/>
      </w:pBdr>
      <w:tabs>
        <w:tab w:val="clear" w:pos="4252"/>
        <w:tab w:val="clear" w:pos="8504"/>
      </w:tabs>
      <w:spacing w:before="120"/>
      <w:ind w:left="1701" w:right="-2" w:hanging="1701"/>
      <w:rPr>
        <w:rFonts w:cs="Arial"/>
        <w:szCs w:val="24"/>
      </w:rPr>
    </w:pPr>
    <w:r w:rsidRPr="002B0E31">
      <w:rPr>
        <w:rFonts w:cs="Arial"/>
        <w:szCs w:val="24"/>
      </w:rPr>
      <w:t>Referencia</w:t>
    </w:r>
    <w:r w:rsidR="00E874D9">
      <w:rPr>
        <w:rFonts w:cs="Arial"/>
        <w:szCs w:val="24"/>
      </w:rPr>
      <w:t xml:space="preserve">: </w:t>
    </w:r>
    <w:r w:rsidRPr="002B0E31">
      <w:rPr>
        <w:rFonts w:cs="Arial"/>
        <w:szCs w:val="24"/>
      </w:rPr>
      <w:t>ISSAI-ES 200</w:t>
    </w:r>
    <w:r w:rsidR="00F50B5A" w:rsidRPr="002B0E31">
      <w:rPr>
        <w:rFonts w:cs="Arial"/>
        <w:szCs w:val="24"/>
      </w:rPr>
      <w:t xml:space="preserve"> (párrafos 165 a 170)</w:t>
    </w:r>
    <w:r w:rsidRPr="002B0E31">
      <w:rPr>
        <w:rFonts w:cs="Arial"/>
        <w:szCs w:val="24"/>
      </w:rPr>
      <w:t xml:space="preserve">, ISSAI 1805 y NIA 805 </w:t>
    </w:r>
  </w:p>
  <w:p w14:paraId="4E524C36" w14:textId="4EBCDDFC" w:rsidR="0012794E" w:rsidRPr="00C134E5" w:rsidRDefault="0012794E" w:rsidP="006F32C7">
    <w:pPr>
      <w:pStyle w:val="Encabezado"/>
      <w:pBdr>
        <w:top w:val="single" w:sz="18" w:space="1" w:color="999999"/>
        <w:bottom w:val="single" w:sz="18" w:space="1" w:color="999999"/>
      </w:pBdr>
      <w:tabs>
        <w:tab w:val="clear" w:pos="4252"/>
        <w:tab w:val="clear" w:pos="8504"/>
        <w:tab w:val="right" w:pos="9070"/>
      </w:tabs>
      <w:spacing w:before="120" w:after="120"/>
      <w:ind w:right="-2"/>
      <w:rPr>
        <w:rFonts w:cs="Arial"/>
        <w:i/>
        <w:sz w:val="16"/>
      </w:rPr>
    </w:pPr>
    <w:r w:rsidRPr="00C134E5">
      <w:rPr>
        <w:rFonts w:cs="Arial"/>
        <w:i/>
        <w:sz w:val="16"/>
      </w:rPr>
      <w:t xml:space="preserve">Documento elaborado por la Comisión Técnica de los OCEX y aprobado por la Conferencia de Presidentes de la ASOCEX </w:t>
    </w:r>
    <w:r>
      <w:rPr>
        <w:rFonts w:cs="Arial"/>
        <w:i/>
        <w:sz w:val="16"/>
      </w:rPr>
      <w:t>el 18/11/</w:t>
    </w:r>
    <w:r w:rsidRPr="00C134E5">
      <w:rPr>
        <w:rFonts w:cs="Arial"/>
        <w:i/>
        <w:sz w:val="16"/>
      </w:rPr>
      <w:t>2015</w:t>
    </w:r>
    <w:r>
      <w:rPr>
        <w:rFonts w:cs="Arial"/>
        <w:i/>
        <w:sz w:val="16"/>
      </w:rPr>
      <w:br/>
      <w:t xml:space="preserve">Revisado </w:t>
    </w:r>
    <w:r w:rsidRPr="00C134E5">
      <w:rPr>
        <w:rFonts w:cs="Arial"/>
        <w:i/>
        <w:sz w:val="16"/>
      </w:rPr>
      <w:t xml:space="preserve">por la Comisión Técnica de los OCEX </w:t>
    </w:r>
    <w:r>
      <w:rPr>
        <w:rFonts w:cs="Arial"/>
        <w:i/>
        <w:sz w:val="16"/>
      </w:rPr>
      <w:t xml:space="preserve">el 15/9/2020 </w:t>
    </w:r>
    <w:r w:rsidRPr="00C134E5">
      <w:rPr>
        <w:rFonts w:cs="Arial"/>
        <w:i/>
        <w:sz w:val="16"/>
      </w:rPr>
      <w:t xml:space="preserve">y aprobado por la Conferencia de Presidentes de la ASOCEX </w:t>
    </w:r>
    <w:r>
      <w:rPr>
        <w:rFonts w:cs="Arial"/>
        <w:i/>
        <w:sz w:val="16"/>
      </w:rPr>
      <w:t xml:space="preserve">el </w:t>
    </w:r>
    <w:r w:rsidR="00C97CB6">
      <w:rPr>
        <w:rFonts w:cs="Arial"/>
        <w:i/>
        <w:sz w:val="16"/>
      </w:rPr>
      <w:t>03</w:t>
    </w:r>
    <w:r>
      <w:rPr>
        <w:rFonts w:cs="Arial"/>
        <w:i/>
        <w:sz w:val="16"/>
      </w:rPr>
      <w:t>/1</w:t>
    </w:r>
    <w:r w:rsidR="00C97CB6">
      <w:rPr>
        <w:rFonts w:cs="Arial"/>
        <w:i/>
        <w:sz w:val="16"/>
      </w:rPr>
      <w:t>2</w:t>
    </w:r>
    <w:r>
      <w:rPr>
        <w:rFonts w:cs="Arial"/>
        <w:i/>
        <w:sz w:val="16"/>
      </w:rPr>
      <w:t>/</w:t>
    </w:r>
    <w:r w:rsidRPr="00C134E5">
      <w:rPr>
        <w:rFonts w:cs="Arial"/>
        <w:i/>
        <w:sz w:val="16"/>
      </w:rPr>
      <w:t>20</w:t>
    </w:r>
    <w:r>
      <w:rPr>
        <w:rFonts w:cs="Arial"/>
        <w:i/>
        <w:sz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1586EDA"/>
    <w:lvl w:ilvl="0">
      <w:numFmt w:val="bullet"/>
      <w:lvlText w:val="*"/>
      <w:lvlJc w:val="left"/>
    </w:lvl>
  </w:abstractNum>
  <w:abstractNum w:abstractNumId="1" w15:restartNumberingAfterBreak="0">
    <w:nsid w:val="000001EB"/>
    <w:multiLevelType w:val="hybridMultilevel"/>
    <w:tmpl w:val="00000BB3"/>
    <w:lvl w:ilvl="0" w:tplc="00002EA6">
      <w:start w:val="6"/>
      <w:numFmt w:val="decimal"/>
      <w:lvlText w:val="%1."/>
      <w:lvlJc w:val="left"/>
      <w:pPr>
        <w:tabs>
          <w:tab w:val="num" w:pos="720"/>
        </w:tabs>
        <w:ind w:left="720" w:hanging="360"/>
      </w:pPr>
    </w:lvl>
    <w:lvl w:ilvl="1" w:tplc="000012D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CAD"/>
    <w:multiLevelType w:val="hybridMultilevel"/>
    <w:tmpl w:val="0000314F"/>
    <w:lvl w:ilvl="0" w:tplc="00005E14">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991"/>
    <w:multiLevelType w:val="hybridMultilevel"/>
    <w:tmpl w:val="0000409D"/>
    <w:lvl w:ilvl="0" w:tplc="000012E1">
      <w:start w:val="1"/>
      <w:numFmt w:val="bullet"/>
      <w:lvlText w:val="•"/>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767D"/>
    <w:multiLevelType w:val="hybridMultilevel"/>
    <w:tmpl w:val="00004509"/>
    <w:lvl w:ilvl="0" w:tplc="00001238">
      <w:start w:val="16"/>
      <w:numFmt w:val="decimal"/>
      <w:lvlText w:val="%1."/>
      <w:lvlJc w:val="left"/>
      <w:pPr>
        <w:tabs>
          <w:tab w:val="num" w:pos="502"/>
        </w:tabs>
        <w:ind w:left="502" w:hanging="360"/>
      </w:pPr>
    </w:lvl>
    <w:lvl w:ilvl="1" w:tplc="00003B25">
      <w:start w:val="1"/>
      <w:numFmt w:val="lowerLetter"/>
      <w:lvlText w:val="(%2)"/>
      <w:lvlJc w:val="left"/>
      <w:pPr>
        <w:tabs>
          <w:tab w:val="num" w:pos="1222"/>
        </w:tabs>
        <w:ind w:left="1222"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F63473"/>
    <w:multiLevelType w:val="hybridMultilevel"/>
    <w:tmpl w:val="ED50BEF0"/>
    <w:lvl w:ilvl="0" w:tplc="A6E895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E153A5"/>
    <w:multiLevelType w:val="hybridMultilevel"/>
    <w:tmpl w:val="6602F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7412DF"/>
    <w:multiLevelType w:val="multilevel"/>
    <w:tmpl w:val="2BA84798"/>
    <w:lvl w:ilvl="0">
      <w:start w:val="1"/>
      <w:numFmt w:val="decimal"/>
      <w:lvlText w:val="%1."/>
      <w:lvlJc w:val="left"/>
      <w:pPr>
        <w:ind w:left="720" w:hanging="360"/>
      </w:pPr>
      <w:rPr>
        <w:rFonts w:hint="default"/>
        <w:lang w:val="es-ES"/>
      </w:rPr>
    </w:lvl>
    <w:lvl w:ilvl="1">
      <w:start w:val="7"/>
      <w:numFmt w:val="decimal"/>
      <w:isLgl/>
      <w:lvlText w:val="%1.%2"/>
      <w:lvlJc w:val="left"/>
      <w:pPr>
        <w:ind w:left="795" w:hanging="435"/>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080" w:hanging="72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440" w:hanging="108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10" w15:restartNumberingAfterBreak="0">
    <w:nsid w:val="244107F9"/>
    <w:multiLevelType w:val="hybridMultilevel"/>
    <w:tmpl w:val="1F8EE0BA"/>
    <w:lvl w:ilvl="0" w:tplc="000012DB">
      <w:start w:val="1"/>
      <w:numFmt w:val="lowerLetter"/>
      <w:lvlText w:val="(%1)"/>
      <w:lvlJc w:val="left"/>
      <w:pPr>
        <w:tabs>
          <w:tab w:val="num" w:pos="1440"/>
        </w:tabs>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010928"/>
    <w:multiLevelType w:val="hybridMultilevel"/>
    <w:tmpl w:val="E8F46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4D66FC"/>
    <w:multiLevelType w:val="hybridMultilevel"/>
    <w:tmpl w:val="304A1190"/>
    <w:lvl w:ilvl="0" w:tplc="0444F822">
      <w:start w:val="166"/>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2B440EDF"/>
    <w:multiLevelType w:val="hybridMultilevel"/>
    <w:tmpl w:val="A42838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D56CE0"/>
    <w:multiLevelType w:val="hybridMultilevel"/>
    <w:tmpl w:val="4C6E89F4"/>
    <w:lvl w:ilvl="0" w:tplc="FFA277C4">
      <w:start w:val="1"/>
      <w:numFmt w:val="lowerLetter"/>
      <w:lvlText w:val="%1)"/>
      <w:lvlJc w:val="left"/>
      <w:pPr>
        <w:tabs>
          <w:tab w:val="num" w:pos="567"/>
        </w:tabs>
        <w:ind w:left="567" w:hanging="454"/>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1D5873"/>
    <w:multiLevelType w:val="hybridMultilevel"/>
    <w:tmpl w:val="D6C02A6C"/>
    <w:lvl w:ilvl="0" w:tplc="B9CA230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43154C85"/>
    <w:multiLevelType w:val="hybridMultilevel"/>
    <w:tmpl w:val="D7AECC5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E10CC0"/>
    <w:multiLevelType w:val="hybridMultilevel"/>
    <w:tmpl w:val="CA8E2E7C"/>
    <w:lvl w:ilvl="0" w:tplc="3C4A512E">
      <w:start w:val="22"/>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4A6254C0"/>
    <w:multiLevelType w:val="hybridMultilevel"/>
    <w:tmpl w:val="412CC46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345F55"/>
    <w:multiLevelType w:val="hybridMultilevel"/>
    <w:tmpl w:val="4C6E89F4"/>
    <w:lvl w:ilvl="0" w:tplc="FFA277C4">
      <w:start w:val="1"/>
      <w:numFmt w:val="lowerLetter"/>
      <w:lvlText w:val="%1)"/>
      <w:lvlJc w:val="left"/>
      <w:pPr>
        <w:tabs>
          <w:tab w:val="num" w:pos="567"/>
        </w:tabs>
        <w:ind w:left="567" w:hanging="454"/>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8E3556"/>
    <w:multiLevelType w:val="hybridMultilevel"/>
    <w:tmpl w:val="D7AECC5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EE3109"/>
    <w:multiLevelType w:val="hybridMultilevel"/>
    <w:tmpl w:val="A42838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665443E"/>
    <w:multiLevelType w:val="hybridMultilevel"/>
    <w:tmpl w:val="7606462C"/>
    <w:lvl w:ilvl="0" w:tplc="0C0A001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644663"/>
    <w:multiLevelType w:val="hybridMultilevel"/>
    <w:tmpl w:val="97D20044"/>
    <w:lvl w:ilvl="0" w:tplc="D22ED3E6">
      <w:start w:val="16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BD9133D"/>
    <w:multiLevelType w:val="hybridMultilevel"/>
    <w:tmpl w:val="1F9C10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2"/>
  </w:num>
  <w:num w:numId="3">
    <w:abstractNumId w:val="15"/>
  </w:num>
  <w:num w:numId="4">
    <w:abstractNumId w:val="1"/>
  </w:num>
  <w:num w:numId="5">
    <w:abstractNumId w:val="6"/>
  </w:num>
  <w:num w:numId="6">
    <w:abstractNumId w:val="3"/>
  </w:num>
  <w:num w:numId="7">
    <w:abstractNumId w:val="4"/>
  </w:num>
  <w:num w:numId="8">
    <w:abstractNumId w:val="2"/>
  </w:num>
  <w:num w:numId="9">
    <w:abstractNumId w:val="5"/>
  </w:num>
  <w:num w:numId="10">
    <w:abstractNumId w:val="22"/>
  </w:num>
  <w:num w:numId="11">
    <w:abstractNumId w:val="17"/>
  </w:num>
  <w:num w:numId="12">
    <w:abstractNumId w:val="24"/>
  </w:num>
  <w:num w:numId="13">
    <w:abstractNumId w:val="10"/>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9"/>
  </w:num>
  <w:num w:numId="16">
    <w:abstractNumId w:val="20"/>
  </w:num>
  <w:num w:numId="17">
    <w:abstractNumId w:val="19"/>
  </w:num>
  <w:num w:numId="18">
    <w:abstractNumId w:val="18"/>
  </w:num>
  <w:num w:numId="19">
    <w:abstractNumId w:val="8"/>
  </w:num>
  <w:num w:numId="20">
    <w:abstractNumId w:val="16"/>
  </w:num>
  <w:num w:numId="21">
    <w:abstractNumId w:val="21"/>
  </w:num>
  <w:num w:numId="22">
    <w:abstractNumId w:val="14"/>
  </w:num>
  <w:num w:numId="23">
    <w:abstractNumId w:val="11"/>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A2"/>
    <w:rsid w:val="00001F3D"/>
    <w:rsid w:val="000140AC"/>
    <w:rsid w:val="000178E5"/>
    <w:rsid w:val="000236C5"/>
    <w:rsid w:val="00031822"/>
    <w:rsid w:val="000337ED"/>
    <w:rsid w:val="00035BB7"/>
    <w:rsid w:val="00050F46"/>
    <w:rsid w:val="00062FDD"/>
    <w:rsid w:val="00083D2E"/>
    <w:rsid w:val="000A1E07"/>
    <w:rsid w:val="000B0E73"/>
    <w:rsid w:val="000F0534"/>
    <w:rsid w:val="001128AD"/>
    <w:rsid w:val="00123466"/>
    <w:rsid w:val="0012794E"/>
    <w:rsid w:val="001400E2"/>
    <w:rsid w:val="00140BE5"/>
    <w:rsid w:val="0014194B"/>
    <w:rsid w:val="00153627"/>
    <w:rsid w:val="00166267"/>
    <w:rsid w:val="00166FDF"/>
    <w:rsid w:val="001A50BD"/>
    <w:rsid w:val="001D50D2"/>
    <w:rsid w:val="001F167C"/>
    <w:rsid w:val="001F3809"/>
    <w:rsid w:val="00230A64"/>
    <w:rsid w:val="002532C5"/>
    <w:rsid w:val="002A1E35"/>
    <w:rsid w:val="002B0E31"/>
    <w:rsid w:val="002D4729"/>
    <w:rsid w:val="002F5F37"/>
    <w:rsid w:val="0031479C"/>
    <w:rsid w:val="00331CC6"/>
    <w:rsid w:val="003360CD"/>
    <w:rsid w:val="003370AB"/>
    <w:rsid w:val="00347028"/>
    <w:rsid w:val="00351800"/>
    <w:rsid w:val="003871DA"/>
    <w:rsid w:val="003E457E"/>
    <w:rsid w:val="003E6797"/>
    <w:rsid w:val="00401C25"/>
    <w:rsid w:val="00422E3E"/>
    <w:rsid w:val="00446108"/>
    <w:rsid w:val="004461F3"/>
    <w:rsid w:val="004807B8"/>
    <w:rsid w:val="00480C1F"/>
    <w:rsid w:val="00482C24"/>
    <w:rsid w:val="00484F2F"/>
    <w:rsid w:val="0048677B"/>
    <w:rsid w:val="004931AE"/>
    <w:rsid w:val="004C0106"/>
    <w:rsid w:val="004C64BC"/>
    <w:rsid w:val="004D16AD"/>
    <w:rsid w:val="004F1B97"/>
    <w:rsid w:val="004F4518"/>
    <w:rsid w:val="005026CD"/>
    <w:rsid w:val="00514B57"/>
    <w:rsid w:val="0053407C"/>
    <w:rsid w:val="00544B82"/>
    <w:rsid w:val="00571B50"/>
    <w:rsid w:val="00584A8B"/>
    <w:rsid w:val="00597B28"/>
    <w:rsid w:val="005B0877"/>
    <w:rsid w:val="005B0921"/>
    <w:rsid w:val="005C1082"/>
    <w:rsid w:val="0060282F"/>
    <w:rsid w:val="00605E2F"/>
    <w:rsid w:val="006238D2"/>
    <w:rsid w:val="006437E4"/>
    <w:rsid w:val="00661628"/>
    <w:rsid w:val="006617A2"/>
    <w:rsid w:val="00663977"/>
    <w:rsid w:val="00683DAE"/>
    <w:rsid w:val="00693C44"/>
    <w:rsid w:val="006B5FD1"/>
    <w:rsid w:val="006C0B7A"/>
    <w:rsid w:val="006C3FD0"/>
    <w:rsid w:val="006F32C7"/>
    <w:rsid w:val="007037B4"/>
    <w:rsid w:val="0075326C"/>
    <w:rsid w:val="00785EC2"/>
    <w:rsid w:val="007951F9"/>
    <w:rsid w:val="007A14DC"/>
    <w:rsid w:val="007B5D4C"/>
    <w:rsid w:val="007B6431"/>
    <w:rsid w:val="007B7FD8"/>
    <w:rsid w:val="007D3DCD"/>
    <w:rsid w:val="007E6486"/>
    <w:rsid w:val="00811EE0"/>
    <w:rsid w:val="00826445"/>
    <w:rsid w:val="008319BC"/>
    <w:rsid w:val="00832F30"/>
    <w:rsid w:val="00837E46"/>
    <w:rsid w:val="008410DA"/>
    <w:rsid w:val="00870B14"/>
    <w:rsid w:val="0088227B"/>
    <w:rsid w:val="008B5D68"/>
    <w:rsid w:val="008B64D9"/>
    <w:rsid w:val="008C00B6"/>
    <w:rsid w:val="008E1996"/>
    <w:rsid w:val="008E37D6"/>
    <w:rsid w:val="008E3D1D"/>
    <w:rsid w:val="008E639D"/>
    <w:rsid w:val="0091601F"/>
    <w:rsid w:val="00916B19"/>
    <w:rsid w:val="00955D5D"/>
    <w:rsid w:val="00962AB7"/>
    <w:rsid w:val="009801E8"/>
    <w:rsid w:val="00990FC8"/>
    <w:rsid w:val="009A5E9D"/>
    <w:rsid w:val="009B201C"/>
    <w:rsid w:val="009B29AF"/>
    <w:rsid w:val="009B4B2D"/>
    <w:rsid w:val="009C520F"/>
    <w:rsid w:val="009D06D2"/>
    <w:rsid w:val="009E4A46"/>
    <w:rsid w:val="00A13324"/>
    <w:rsid w:val="00A263FC"/>
    <w:rsid w:val="00A427C3"/>
    <w:rsid w:val="00A8771C"/>
    <w:rsid w:val="00AD1E17"/>
    <w:rsid w:val="00AF0F87"/>
    <w:rsid w:val="00B26EBB"/>
    <w:rsid w:val="00B30DA2"/>
    <w:rsid w:val="00B42EFC"/>
    <w:rsid w:val="00B81055"/>
    <w:rsid w:val="00BB2C5E"/>
    <w:rsid w:val="00BF4D1A"/>
    <w:rsid w:val="00C138B4"/>
    <w:rsid w:val="00C23A0A"/>
    <w:rsid w:val="00C32B81"/>
    <w:rsid w:val="00C55530"/>
    <w:rsid w:val="00C77FF5"/>
    <w:rsid w:val="00C83B5E"/>
    <w:rsid w:val="00C97CB6"/>
    <w:rsid w:val="00CB7661"/>
    <w:rsid w:val="00CC1588"/>
    <w:rsid w:val="00CC2D40"/>
    <w:rsid w:val="00CE1AA2"/>
    <w:rsid w:val="00CF4EDD"/>
    <w:rsid w:val="00D0493F"/>
    <w:rsid w:val="00D233A2"/>
    <w:rsid w:val="00D4520D"/>
    <w:rsid w:val="00D77852"/>
    <w:rsid w:val="00DD464D"/>
    <w:rsid w:val="00DD5B52"/>
    <w:rsid w:val="00DE7FF6"/>
    <w:rsid w:val="00E017CC"/>
    <w:rsid w:val="00E064DC"/>
    <w:rsid w:val="00E12ECE"/>
    <w:rsid w:val="00E27365"/>
    <w:rsid w:val="00E33739"/>
    <w:rsid w:val="00E35274"/>
    <w:rsid w:val="00E410D8"/>
    <w:rsid w:val="00E43F9C"/>
    <w:rsid w:val="00E674A0"/>
    <w:rsid w:val="00E779E4"/>
    <w:rsid w:val="00E8722E"/>
    <w:rsid w:val="00E874D9"/>
    <w:rsid w:val="00EB4483"/>
    <w:rsid w:val="00EB6858"/>
    <w:rsid w:val="00F06C47"/>
    <w:rsid w:val="00F21EDD"/>
    <w:rsid w:val="00F50B5A"/>
    <w:rsid w:val="00F94685"/>
    <w:rsid w:val="00FA2504"/>
    <w:rsid w:val="00FC17F5"/>
    <w:rsid w:val="00FD0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EAC8C"/>
  <w15:chartTrackingRefBased/>
  <w15:docId w15:val="{6BF76EF5-A5DF-4E36-AAF5-F0E1EA4E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F6"/>
    <w:pPr>
      <w:spacing w:after="200" w:line="276" w:lineRule="auto"/>
    </w:pPr>
    <w:rPr>
      <w:rFonts w:eastAsiaTheme="minorEastAsia"/>
      <w:lang w:eastAsia="es-ES"/>
    </w:rPr>
  </w:style>
  <w:style w:type="paragraph" w:styleId="Ttulo3">
    <w:name w:val="heading 3"/>
    <w:basedOn w:val="Normal"/>
    <w:next w:val="Normal"/>
    <w:link w:val="Ttulo3Car"/>
    <w:uiPriority w:val="9"/>
    <w:semiHidden/>
    <w:unhideWhenUsed/>
    <w:qFormat/>
    <w:rsid w:val="00B26EBB"/>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31822"/>
    <w:pPr>
      <w:ind w:left="720"/>
      <w:contextualSpacing/>
    </w:pPr>
  </w:style>
  <w:style w:type="paragraph" w:styleId="Encabezado">
    <w:name w:val="header"/>
    <w:basedOn w:val="Normal"/>
    <w:link w:val="EncabezadoCar"/>
    <w:unhideWhenUsed/>
    <w:rsid w:val="00031822"/>
    <w:pPr>
      <w:tabs>
        <w:tab w:val="center" w:pos="4252"/>
        <w:tab w:val="right" w:pos="8504"/>
      </w:tabs>
      <w:spacing w:after="0" w:line="240" w:lineRule="auto"/>
    </w:pPr>
  </w:style>
  <w:style w:type="character" w:customStyle="1" w:styleId="EncabezadoCar">
    <w:name w:val="Encabezado Car"/>
    <w:basedOn w:val="Fuentedeprrafopredeter"/>
    <w:link w:val="Encabezado"/>
    <w:rsid w:val="00031822"/>
    <w:rPr>
      <w:rFonts w:eastAsiaTheme="minorEastAsia"/>
      <w:lang w:eastAsia="es-ES"/>
    </w:rPr>
  </w:style>
  <w:style w:type="paragraph" w:styleId="Piedepgina">
    <w:name w:val="footer"/>
    <w:basedOn w:val="Normal"/>
    <w:link w:val="PiedepginaCar"/>
    <w:uiPriority w:val="99"/>
    <w:unhideWhenUsed/>
    <w:rsid w:val="00031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822"/>
    <w:rPr>
      <w:rFonts w:eastAsiaTheme="minorEastAsia"/>
      <w:lang w:eastAsia="es-ES"/>
    </w:rPr>
  </w:style>
  <w:style w:type="paragraph" w:styleId="Textonotapie">
    <w:name w:val="footnote text"/>
    <w:basedOn w:val="Normal"/>
    <w:link w:val="TextonotapieCar"/>
    <w:uiPriority w:val="99"/>
    <w:semiHidden/>
    <w:unhideWhenUsed/>
    <w:rsid w:val="00870B14"/>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870B14"/>
    <w:rPr>
      <w:sz w:val="20"/>
      <w:szCs w:val="20"/>
    </w:rPr>
  </w:style>
  <w:style w:type="character" w:styleId="Refdenotaalpie">
    <w:name w:val="footnote reference"/>
    <w:basedOn w:val="Fuentedeprrafopredeter"/>
    <w:uiPriority w:val="99"/>
    <w:semiHidden/>
    <w:unhideWhenUsed/>
    <w:rsid w:val="00870B14"/>
    <w:rPr>
      <w:vertAlign w:val="superscript"/>
    </w:rPr>
  </w:style>
  <w:style w:type="paragraph" w:customStyle="1" w:styleId="Default">
    <w:name w:val="Default"/>
    <w:rsid w:val="00F06C47"/>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iPriority w:val="99"/>
    <w:rsid w:val="00DD5B52"/>
    <w:pPr>
      <w:spacing w:before="240" w:after="0" w:line="240" w:lineRule="atLeast"/>
      <w:jc w:val="both"/>
    </w:pPr>
    <w:rPr>
      <w:rFonts w:ascii="Times New Roman" w:eastAsia="Times New Roman" w:hAnsi="Times New Roman" w:cs="Times New Roman"/>
      <w:sz w:val="24"/>
      <w:szCs w:val="20"/>
      <w:lang w:val="es-ES_tradnl"/>
    </w:rPr>
  </w:style>
  <w:style w:type="character" w:customStyle="1" w:styleId="TextoindependienteCar">
    <w:name w:val="Texto independiente Car"/>
    <w:basedOn w:val="Fuentedeprrafopredeter"/>
    <w:link w:val="Textoindependiente"/>
    <w:uiPriority w:val="99"/>
    <w:rsid w:val="00DD5B52"/>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34"/>
    <w:locked/>
    <w:rsid w:val="00DD5B52"/>
    <w:rPr>
      <w:rFonts w:eastAsiaTheme="minorEastAsia"/>
      <w:lang w:eastAsia="es-ES"/>
    </w:rPr>
  </w:style>
  <w:style w:type="paragraph" w:customStyle="1" w:styleId="CM34">
    <w:name w:val="CM34"/>
    <w:basedOn w:val="Default"/>
    <w:next w:val="Default"/>
    <w:uiPriority w:val="99"/>
    <w:rsid w:val="00B81055"/>
    <w:rPr>
      <w:rFonts w:ascii="Helvetica" w:hAnsi="Helvetica" w:cstheme="minorBidi"/>
      <w:color w:val="auto"/>
    </w:rPr>
  </w:style>
  <w:style w:type="paragraph" w:styleId="Textodebloque">
    <w:name w:val="Block Text"/>
    <w:basedOn w:val="Normal"/>
    <w:rsid w:val="00E8722E"/>
    <w:pPr>
      <w:widowControl w:val="0"/>
      <w:tabs>
        <w:tab w:val="num" w:pos="1134"/>
      </w:tabs>
      <w:spacing w:before="120" w:after="240" w:line="240" w:lineRule="auto"/>
      <w:ind w:left="993" w:right="49" w:hanging="284"/>
      <w:jc w:val="both"/>
    </w:pPr>
    <w:rPr>
      <w:rFonts w:ascii="Tahoma" w:eastAsia="Times New Roman" w:hAnsi="Tahoma" w:cs="Times New Roman"/>
      <w:snapToGrid w:val="0"/>
      <w:sz w:val="24"/>
      <w:szCs w:val="20"/>
    </w:rPr>
  </w:style>
  <w:style w:type="paragraph" w:styleId="Textoindependiente2">
    <w:name w:val="Body Text 2"/>
    <w:basedOn w:val="Normal"/>
    <w:link w:val="Textoindependiente2Car"/>
    <w:uiPriority w:val="99"/>
    <w:semiHidden/>
    <w:unhideWhenUsed/>
    <w:rsid w:val="006238D2"/>
    <w:pPr>
      <w:spacing w:after="120" w:line="480" w:lineRule="auto"/>
    </w:pPr>
  </w:style>
  <w:style w:type="character" w:customStyle="1" w:styleId="Textoindependiente2Car">
    <w:name w:val="Texto independiente 2 Car"/>
    <w:basedOn w:val="Fuentedeprrafopredeter"/>
    <w:link w:val="Textoindependiente2"/>
    <w:uiPriority w:val="99"/>
    <w:semiHidden/>
    <w:rsid w:val="006238D2"/>
    <w:rPr>
      <w:rFonts w:eastAsiaTheme="minorEastAsia"/>
      <w:lang w:eastAsia="es-ES"/>
    </w:rPr>
  </w:style>
  <w:style w:type="paragraph" w:styleId="Textodeglobo">
    <w:name w:val="Balloon Text"/>
    <w:basedOn w:val="Normal"/>
    <w:link w:val="TextodegloboCar"/>
    <w:uiPriority w:val="99"/>
    <w:semiHidden/>
    <w:unhideWhenUsed/>
    <w:rsid w:val="001128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8AD"/>
    <w:rPr>
      <w:rFonts w:ascii="Segoe UI" w:eastAsiaTheme="minorEastAsia" w:hAnsi="Segoe UI" w:cs="Segoe UI"/>
      <w:sz w:val="18"/>
      <w:szCs w:val="18"/>
      <w:lang w:eastAsia="es-ES"/>
    </w:rPr>
  </w:style>
  <w:style w:type="table" w:styleId="Tablaconcuadrcula">
    <w:name w:val="Table Grid"/>
    <w:basedOn w:val="Tablanormal"/>
    <w:uiPriority w:val="59"/>
    <w:rsid w:val="00166267"/>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B26EBB"/>
    <w:rPr>
      <w:rFonts w:asciiTheme="majorHAnsi" w:eastAsiaTheme="majorEastAsia" w:hAnsiTheme="majorHAnsi" w:cstheme="majorBidi"/>
      <w:color w:val="1F4D78"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72AE4-5DC7-4E1F-AE99-9DAF187D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4126</Words>
  <Characters>22698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Minguillon Roy</dc:creator>
  <cp:keywords/>
  <dc:description/>
  <cp:lastModifiedBy>Antonio Minguillon Roy</cp:lastModifiedBy>
  <cp:revision>4</cp:revision>
  <cp:lastPrinted>2015-09-11T11:57:00Z</cp:lastPrinted>
  <dcterms:created xsi:type="dcterms:W3CDTF">2020-10-24T15:21:00Z</dcterms:created>
  <dcterms:modified xsi:type="dcterms:W3CDTF">2020-12-03T17:09:00Z</dcterms:modified>
</cp:coreProperties>
</file>